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1620" w:firstLineChars="450"/>
        <w:rPr>
          <w:rFonts w:eastAsia="方正小标宋简体"/>
          <w:sz w:val="44"/>
          <w:szCs w:val="44"/>
        </w:rPr>
      </w:pPr>
      <w:r>
        <w:rPr>
          <w:rFonts w:hint="eastAsia" w:eastAsia="方正小标宋简体"/>
          <w:sz w:val="36"/>
          <w:szCs w:val="36"/>
        </w:rPr>
        <w:t xml:space="preserve">  </w:t>
      </w:r>
      <w:r>
        <w:rPr>
          <w:rFonts w:hint="eastAsia" w:eastAsia="方正小标宋简体"/>
          <w:sz w:val="36"/>
          <w:szCs w:val="36"/>
          <w:lang w:eastAsia="zh-CN"/>
        </w:rPr>
        <w:t>清洁生产</w:t>
      </w:r>
      <w:r>
        <w:rPr>
          <w:rFonts w:hint="eastAsia" w:eastAsia="方正小标宋简体"/>
          <w:sz w:val="36"/>
          <w:szCs w:val="36"/>
        </w:rPr>
        <w:t>环境信息公开表</w:t>
      </w:r>
    </w:p>
    <w:p>
      <w:pPr>
        <w:spacing w:line="560" w:lineRule="exact"/>
        <w:ind w:firstLine="320" w:firstLineChars="100"/>
        <w:jc w:val="left"/>
        <w:rPr>
          <w:rFonts w:eastAsia="黑体"/>
          <w:sz w:val="32"/>
          <w:szCs w:val="32"/>
        </w:rPr>
      </w:pPr>
      <w:r>
        <w:rPr>
          <w:rFonts w:hint="eastAsia" w:eastAsia="黑体"/>
          <w:sz w:val="32"/>
          <w:szCs w:val="32"/>
        </w:rPr>
        <w:t>一、基础信息</w:t>
      </w:r>
    </w:p>
    <w:tbl>
      <w:tblPr>
        <w:tblStyle w:val="12"/>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552"/>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269" w:type="dxa"/>
            <w:tcBorders>
              <w:top w:val="single" w:color="auto" w:sz="4" w:space="0"/>
              <w:left w:val="single" w:color="auto" w:sz="4" w:space="0"/>
              <w:bottom w:val="single" w:color="auto" w:sz="4" w:space="0"/>
              <w:right w:val="single" w:color="auto" w:sz="4" w:space="0"/>
            </w:tcBorders>
          </w:tcPr>
          <w:p>
            <w:pPr>
              <w:spacing w:line="620" w:lineRule="exact"/>
              <w:jc w:val="center"/>
              <w:rPr>
                <w:rFonts w:eastAsia="仿宋_GB2312"/>
                <w:sz w:val="24"/>
                <w:szCs w:val="24"/>
              </w:rPr>
            </w:pPr>
            <w:r>
              <w:rPr>
                <w:rFonts w:hint="eastAsia" w:eastAsia="仿宋_GB2312"/>
                <w:sz w:val="24"/>
                <w:szCs w:val="24"/>
              </w:rPr>
              <w:t>单位名称</w:t>
            </w:r>
          </w:p>
        </w:tc>
        <w:tc>
          <w:tcPr>
            <w:tcW w:w="7371" w:type="dxa"/>
            <w:gridSpan w:val="3"/>
            <w:tcBorders>
              <w:top w:val="single" w:color="auto" w:sz="4" w:space="0"/>
              <w:left w:val="single" w:color="auto" w:sz="4" w:space="0"/>
              <w:bottom w:val="single" w:color="auto" w:sz="4" w:space="0"/>
              <w:right w:val="single" w:color="auto" w:sz="4" w:space="0"/>
            </w:tcBorders>
          </w:tcPr>
          <w:p>
            <w:pPr>
              <w:spacing w:line="620" w:lineRule="exact"/>
              <w:rPr>
                <w:rFonts w:hint="eastAsia" w:eastAsia="仿宋_GB2312"/>
                <w:sz w:val="24"/>
                <w:szCs w:val="24"/>
                <w:lang w:eastAsia="zh-CN"/>
              </w:rPr>
            </w:pPr>
            <w:r>
              <w:rPr>
                <w:rFonts w:hint="eastAsia" w:eastAsia="仿宋_GB2312"/>
                <w:sz w:val="24"/>
                <w:szCs w:val="24"/>
                <w:lang w:eastAsia="zh-CN"/>
              </w:rPr>
              <w:t>唐县汇银木业有限公司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269" w:type="dxa"/>
            <w:tcBorders>
              <w:top w:val="single" w:color="auto" w:sz="4" w:space="0"/>
              <w:left w:val="single" w:color="auto" w:sz="4" w:space="0"/>
              <w:bottom w:val="single" w:color="auto" w:sz="4" w:space="0"/>
              <w:right w:val="single" w:color="auto" w:sz="4" w:space="0"/>
            </w:tcBorders>
          </w:tcPr>
          <w:p>
            <w:pPr>
              <w:spacing w:line="620" w:lineRule="exact"/>
              <w:jc w:val="center"/>
              <w:rPr>
                <w:rFonts w:eastAsia="仿宋_GB2312"/>
                <w:sz w:val="24"/>
                <w:szCs w:val="24"/>
              </w:rPr>
            </w:pPr>
            <w:r>
              <w:rPr>
                <w:rFonts w:hint="eastAsia" w:eastAsia="仿宋_GB2312"/>
                <w:sz w:val="24"/>
                <w:szCs w:val="24"/>
              </w:rPr>
              <w:t>组织机构代码</w:t>
            </w:r>
          </w:p>
        </w:tc>
        <w:tc>
          <w:tcPr>
            <w:tcW w:w="2552" w:type="dxa"/>
            <w:tcBorders>
              <w:top w:val="single" w:color="auto" w:sz="4" w:space="0"/>
              <w:left w:val="single" w:color="auto" w:sz="4" w:space="0"/>
              <w:bottom w:val="single" w:color="auto" w:sz="4" w:space="0"/>
              <w:right w:val="single" w:color="auto" w:sz="4" w:space="0"/>
            </w:tcBorders>
          </w:tcPr>
          <w:p>
            <w:pPr>
              <w:spacing w:line="620" w:lineRule="exact"/>
              <w:rPr>
                <w:rFonts w:hint="eastAsia" w:eastAsia="仿宋_GB2312"/>
                <w:sz w:val="24"/>
                <w:szCs w:val="24"/>
                <w:lang w:val="en-US" w:eastAsia="zh-CN"/>
              </w:rPr>
            </w:pPr>
            <w:r>
              <w:rPr>
                <w:rFonts w:hint="eastAsia" w:eastAsia="仿宋_GB2312"/>
                <w:sz w:val="24"/>
                <w:szCs w:val="24"/>
                <w:lang w:val="en-US" w:eastAsia="zh-CN"/>
              </w:rPr>
              <w:t>911306270581563589</w:t>
            </w:r>
          </w:p>
        </w:tc>
        <w:tc>
          <w:tcPr>
            <w:tcW w:w="1984" w:type="dxa"/>
            <w:tcBorders>
              <w:top w:val="single" w:color="auto" w:sz="4" w:space="0"/>
              <w:left w:val="single" w:color="auto" w:sz="4" w:space="0"/>
              <w:bottom w:val="single" w:color="auto" w:sz="4" w:space="0"/>
              <w:right w:val="single" w:color="auto" w:sz="4" w:space="0"/>
            </w:tcBorders>
          </w:tcPr>
          <w:p>
            <w:pPr>
              <w:spacing w:line="620" w:lineRule="exact"/>
              <w:jc w:val="center"/>
              <w:rPr>
                <w:rFonts w:eastAsia="仿宋_GB2312"/>
                <w:sz w:val="24"/>
                <w:szCs w:val="24"/>
              </w:rPr>
            </w:pPr>
            <w:r>
              <w:rPr>
                <w:rFonts w:hint="eastAsia" w:eastAsia="仿宋_GB2312"/>
                <w:sz w:val="24"/>
                <w:szCs w:val="24"/>
              </w:rPr>
              <w:t>法定代表人</w:t>
            </w:r>
          </w:p>
        </w:tc>
        <w:tc>
          <w:tcPr>
            <w:tcW w:w="2835" w:type="dxa"/>
            <w:tcBorders>
              <w:top w:val="single" w:color="auto" w:sz="4" w:space="0"/>
              <w:left w:val="single" w:color="auto" w:sz="4" w:space="0"/>
              <w:bottom w:val="single" w:color="auto" w:sz="4" w:space="0"/>
              <w:right w:val="single" w:color="auto" w:sz="4" w:space="0"/>
            </w:tcBorders>
          </w:tcPr>
          <w:p>
            <w:pPr>
              <w:spacing w:line="620" w:lineRule="exact"/>
              <w:rPr>
                <w:rFonts w:hint="eastAsia" w:eastAsia="仿宋_GB2312"/>
                <w:sz w:val="24"/>
                <w:szCs w:val="24"/>
                <w:lang w:eastAsia="zh-CN"/>
              </w:rPr>
            </w:pPr>
            <w:r>
              <w:rPr>
                <w:rFonts w:hint="eastAsia" w:eastAsia="仿宋_GB2312"/>
                <w:sz w:val="24"/>
                <w:szCs w:val="24"/>
                <w:lang w:eastAsia="zh-CN"/>
              </w:rPr>
              <w:t>崔会军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269" w:type="dxa"/>
            <w:tcBorders>
              <w:top w:val="single" w:color="auto" w:sz="4" w:space="0"/>
              <w:left w:val="single" w:color="auto" w:sz="4" w:space="0"/>
              <w:bottom w:val="single" w:color="auto" w:sz="4" w:space="0"/>
              <w:right w:val="single" w:color="auto" w:sz="4" w:space="0"/>
            </w:tcBorders>
          </w:tcPr>
          <w:p>
            <w:pPr>
              <w:spacing w:line="620" w:lineRule="exact"/>
              <w:jc w:val="center"/>
              <w:rPr>
                <w:rFonts w:eastAsia="仿宋_GB2312"/>
                <w:sz w:val="24"/>
                <w:szCs w:val="24"/>
              </w:rPr>
            </w:pPr>
            <w:r>
              <w:rPr>
                <w:rFonts w:hint="eastAsia" w:eastAsia="仿宋_GB2312"/>
                <w:sz w:val="24"/>
                <w:szCs w:val="24"/>
              </w:rPr>
              <w:t>生产地址</w:t>
            </w:r>
          </w:p>
        </w:tc>
        <w:tc>
          <w:tcPr>
            <w:tcW w:w="7371"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eastAsia="仿宋_GB2312"/>
                <w:sz w:val="24"/>
                <w:szCs w:val="24"/>
                <w:lang w:val="en-US" w:eastAsia="zh-CN"/>
              </w:rPr>
            </w:pPr>
            <w:r>
              <w:rPr>
                <w:rFonts w:hint="eastAsia" w:eastAsia="仿宋_GB2312"/>
                <w:sz w:val="24"/>
                <w:szCs w:val="24"/>
                <w:lang w:eastAsia="zh-CN"/>
              </w:rPr>
              <w:t>河北省保定市唐县长古城工业园区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821" w:type="dxa"/>
            <w:gridSpan w:val="2"/>
            <w:tcBorders>
              <w:top w:val="single" w:color="auto" w:sz="4" w:space="0"/>
              <w:left w:val="single" w:color="auto" w:sz="4" w:space="0"/>
              <w:bottom w:val="single" w:color="auto" w:sz="4" w:space="0"/>
              <w:right w:val="single" w:color="auto" w:sz="4" w:space="0"/>
            </w:tcBorders>
          </w:tcPr>
          <w:p>
            <w:pPr>
              <w:spacing w:line="620" w:lineRule="exact"/>
              <w:jc w:val="center"/>
              <w:rPr>
                <w:rFonts w:hint="eastAsia" w:eastAsia="仿宋_GB2312"/>
                <w:sz w:val="24"/>
                <w:szCs w:val="24"/>
                <w:lang w:eastAsia="zh-CN"/>
              </w:rPr>
            </w:pPr>
            <w:r>
              <w:rPr>
                <w:rFonts w:hint="eastAsia" w:eastAsia="仿宋_GB2312"/>
                <w:sz w:val="24"/>
                <w:szCs w:val="24"/>
                <w:lang w:eastAsia="zh-CN"/>
              </w:rPr>
              <w:t>产品产值能耗</w:t>
            </w:r>
          </w:p>
        </w:tc>
        <w:tc>
          <w:tcPr>
            <w:tcW w:w="4819" w:type="dxa"/>
            <w:gridSpan w:val="2"/>
            <w:tcBorders>
              <w:top w:val="single" w:color="auto" w:sz="4" w:space="0"/>
              <w:left w:val="single" w:color="auto" w:sz="4" w:space="0"/>
              <w:bottom w:val="single" w:color="auto" w:sz="4" w:space="0"/>
              <w:right w:val="single" w:color="auto" w:sz="4" w:space="0"/>
            </w:tcBorders>
          </w:tcPr>
          <w:p>
            <w:pPr>
              <w:spacing w:line="620" w:lineRule="exact"/>
              <w:jc w:val="center"/>
              <w:rPr>
                <w:rFonts w:hint="eastAsia" w:eastAsia="仿宋_GB2312"/>
                <w:sz w:val="24"/>
                <w:szCs w:val="24"/>
                <w:lang w:val="en-US" w:eastAsia="zh-CN"/>
              </w:rPr>
            </w:pPr>
            <w:r>
              <w:rPr>
                <w:rFonts w:hint="eastAsia" w:eastAsia="仿宋_GB2312"/>
                <w:sz w:val="24"/>
                <w:szCs w:val="24"/>
                <w:lang w:val="en-US" w:eastAsia="zh-CN"/>
              </w:rPr>
              <w:t>257.36kgce/万元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821"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1200" w:firstLineChars="500"/>
              <w:jc w:val="both"/>
              <w:rPr>
                <w:rFonts w:hint="eastAsia" w:eastAsia="仿宋_GB2312"/>
                <w:sz w:val="24"/>
                <w:szCs w:val="24"/>
                <w:lang w:eastAsia="zh-CN"/>
              </w:rPr>
            </w:pPr>
            <w:r>
              <w:rPr>
                <w:rFonts w:hint="eastAsia" w:eastAsia="仿宋_GB2312"/>
                <w:sz w:val="24"/>
                <w:szCs w:val="24"/>
                <w:lang w:eastAsia="zh-CN"/>
              </w:rPr>
              <w:t>单位产品能耗</w:t>
            </w:r>
          </w:p>
        </w:tc>
        <w:tc>
          <w:tcPr>
            <w:tcW w:w="481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hint="eastAsia" w:eastAsia="仿宋_GB2312"/>
                <w:sz w:val="24"/>
                <w:szCs w:val="24"/>
                <w:lang w:val="en-US" w:eastAsia="zh-CN"/>
              </w:rPr>
            </w:pPr>
            <w:r>
              <w:rPr>
                <w:rFonts w:hint="eastAsia" w:eastAsia="仿宋_GB2312"/>
                <w:sz w:val="24"/>
                <w:szCs w:val="24"/>
                <w:lang w:val="en-US" w:eastAsia="zh-CN"/>
              </w:rPr>
              <w:t xml:space="preserve">          </w:t>
            </w:r>
            <w:bookmarkStart w:id="0" w:name="_GoBack"/>
            <w:bookmarkEnd w:id="0"/>
            <w:r>
              <w:rPr>
                <w:rFonts w:hint="eastAsia" w:eastAsia="仿宋_GB2312"/>
                <w:sz w:val="24"/>
                <w:szCs w:val="24"/>
                <w:lang w:val="en-US" w:eastAsia="zh-CN"/>
              </w:rPr>
              <w:t xml:space="preserve">  31.05kgce/m³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821" w:type="dxa"/>
            <w:gridSpan w:val="2"/>
            <w:tcBorders>
              <w:top w:val="single" w:color="auto" w:sz="4" w:space="0"/>
              <w:left w:val="single" w:color="auto" w:sz="4" w:space="0"/>
              <w:bottom w:val="single" w:color="auto" w:sz="4" w:space="0"/>
              <w:right w:val="single" w:color="auto" w:sz="4" w:space="0"/>
            </w:tcBorders>
          </w:tcPr>
          <w:p>
            <w:pPr>
              <w:spacing w:line="620" w:lineRule="exact"/>
              <w:ind w:firstLine="960" w:firstLineChars="400"/>
              <w:jc w:val="both"/>
              <w:rPr>
                <w:rFonts w:hint="eastAsia" w:eastAsia="仿宋_GB2312"/>
                <w:sz w:val="24"/>
                <w:szCs w:val="24"/>
                <w:lang w:eastAsia="zh-CN"/>
              </w:rPr>
            </w:pPr>
            <w:r>
              <w:rPr>
                <w:rFonts w:hint="eastAsia" w:eastAsia="仿宋_GB2312"/>
                <w:sz w:val="24"/>
                <w:szCs w:val="24"/>
                <w:lang w:eastAsia="zh-CN"/>
              </w:rPr>
              <w:t>单位产品能耗标准</w:t>
            </w:r>
          </w:p>
        </w:tc>
        <w:tc>
          <w:tcPr>
            <w:tcW w:w="4819" w:type="dxa"/>
            <w:gridSpan w:val="2"/>
            <w:tcBorders>
              <w:top w:val="single" w:color="auto" w:sz="4" w:space="0"/>
              <w:left w:val="single" w:color="auto" w:sz="4" w:space="0"/>
              <w:bottom w:val="single" w:color="auto" w:sz="4" w:space="0"/>
              <w:right w:val="single" w:color="auto" w:sz="4" w:space="0"/>
            </w:tcBorders>
          </w:tcPr>
          <w:p>
            <w:pPr>
              <w:spacing w:line="620" w:lineRule="exact"/>
              <w:jc w:val="center"/>
              <w:rPr>
                <w:rFonts w:hint="eastAsia" w:eastAsia="仿宋_GB2312"/>
                <w:sz w:val="24"/>
                <w:szCs w:val="24"/>
                <w:lang w:val="en-US" w:eastAsia="zh-CN"/>
              </w:rPr>
            </w:pPr>
            <w:r>
              <w:rPr>
                <w:rFonts w:hint="eastAsia" w:eastAsia="仿宋_GB2312"/>
                <w:sz w:val="24"/>
                <w:szCs w:val="24"/>
                <w:lang w:val="en-US" w:eastAsia="zh-CN"/>
              </w:rPr>
              <w:t>80-260kgce/m³</w:t>
            </w:r>
          </w:p>
        </w:tc>
      </w:tr>
    </w:tbl>
    <w:p>
      <w:pPr>
        <w:spacing w:line="560" w:lineRule="exact"/>
        <w:ind w:firstLine="320" w:firstLineChars="100"/>
        <w:jc w:val="left"/>
        <w:rPr>
          <w:rFonts w:hint="eastAsia" w:eastAsia="黑体"/>
          <w:sz w:val="32"/>
          <w:szCs w:val="32"/>
          <w:lang w:eastAsia="zh-CN"/>
        </w:rPr>
      </w:pPr>
      <w:r>
        <w:rPr>
          <w:rFonts w:hint="eastAsia" w:eastAsia="黑体"/>
          <w:sz w:val="32"/>
          <w:szCs w:val="32"/>
          <w:lang w:eastAsia="zh-CN"/>
        </w:rPr>
        <w:t>二、原辅材料及能源消耗表</w:t>
      </w:r>
    </w:p>
    <w:tbl>
      <w:tblPr>
        <w:tblStyle w:val="12"/>
        <w:tblW w:w="9590" w:type="dxa"/>
        <w:jc w:val="center"/>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725"/>
        <w:gridCol w:w="825"/>
        <w:gridCol w:w="1555"/>
        <w:gridCol w:w="4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原料名称</w:t>
            </w:r>
          </w:p>
        </w:tc>
        <w:tc>
          <w:tcPr>
            <w:tcW w:w="825" w:type="dxa"/>
            <w:vAlign w:val="center"/>
          </w:tcPr>
          <w:p>
            <w:pPr>
              <w:ind w:left="197" w:hanging="197"/>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1555" w:type="dxa"/>
            <w:vAlign w:val="center"/>
          </w:tcPr>
          <w:p>
            <w:pPr>
              <w:ind w:left="197" w:hanging="197"/>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消耗量(t/a)</w:t>
            </w:r>
          </w:p>
        </w:tc>
        <w:tc>
          <w:tcPr>
            <w:tcW w:w="4738" w:type="dxa"/>
            <w:vAlign w:val="center"/>
          </w:tcPr>
          <w:p>
            <w:pPr>
              <w:ind w:left="197" w:hanging="197"/>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三剩物木材</w:t>
            </w:r>
          </w:p>
        </w:tc>
        <w:tc>
          <w:tcPr>
            <w:tcW w:w="825" w:type="dxa"/>
            <w:vAlign w:val="center"/>
          </w:tcPr>
          <w:p>
            <w:pPr>
              <w:ind w:left="197" w:hanging="197"/>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ind w:firstLine="240" w:firstLineChars="1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77050</w:t>
            </w:r>
          </w:p>
        </w:tc>
        <w:tc>
          <w:tcPr>
            <w:tcW w:w="4738"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锯末</w:t>
            </w:r>
          </w:p>
        </w:tc>
        <w:tc>
          <w:tcPr>
            <w:tcW w:w="8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22900</w:t>
            </w:r>
          </w:p>
        </w:tc>
        <w:tc>
          <w:tcPr>
            <w:tcW w:w="4738"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甲醛</w:t>
            </w:r>
          </w:p>
        </w:tc>
        <w:tc>
          <w:tcPr>
            <w:tcW w:w="825" w:type="dxa"/>
            <w:vAlign w:val="center"/>
          </w:tcPr>
          <w:p>
            <w:pPr>
              <w:ind w:left="197" w:hanging="197"/>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6450</w:t>
            </w:r>
          </w:p>
        </w:tc>
        <w:tc>
          <w:tcPr>
            <w:tcW w:w="4738" w:type="dxa"/>
            <w:vAlign w:val="center"/>
          </w:tcPr>
          <w:p>
            <w:pPr>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原材料，危险化学品，已通过危险化学品安全评价和职业危害现状评价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尿素</w:t>
            </w:r>
          </w:p>
        </w:tc>
        <w:tc>
          <w:tcPr>
            <w:tcW w:w="8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3956</w:t>
            </w:r>
          </w:p>
        </w:tc>
        <w:tc>
          <w:tcPr>
            <w:tcW w:w="4738" w:type="dxa"/>
            <w:vAlign w:val="center"/>
          </w:tcPr>
          <w:p>
            <w:pPr>
              <w:ind w:left="197" w:hanging="197"/>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甲酸</w:t>
            </w:r>
          </w:p>
        </w:tc>
        <w:tc>
          <w:tcPr>
            <w:tcW w:w="8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8.8</w:t>
            </w:r>
          </w:p>
        </w:tc>
        <w:tc>
          <w:tcPr>
            <w:tcW w:w="4738" w:type="dxa"/>
            <w:vAlign w:val="center"/>
          </w:tcPr>
          <w:p>
            <w:pPr>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原材料，危险化学品，已通过危险化学品安全评价和职业危害现状评价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碱</w:t>
            </w:r>
          </w:p>
        </w:tc>
        <w:tc>
          <w:tcPr>
            <w:tcW w:w="8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13.2</w:t>
            </w:r>
          </w:p>
        </w:tc>
        <w:tc>
          <w:tcPr>
            <w:tcW w:w="4738" w:type="dxa"/>
            <w:vAlign w:val="center"/>
          </w:tcPr>
          <w:p>
            <w:pPr>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原材料，危险化学品，已通过危险化学品安全评价和职业危害现状评价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725"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生物质燃料</w:t>
            </w:r>
          </w:p>
        </w:tc>
        <w:tc>
          <w:tcPr>
            <w:tcW w:w="8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t/a</w:t>
            </w:r>
          </w:p>
        </w:tc>
        <w:tc>
          <w:tcPr>
            <w:tcW w:w="155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6900</w:t>
            </w:r>
          </w:p>
        </w:tc>
        <w:tc>
          <w:tcPr>
            <w:tcW w:w="4738" w:type="dxa"/>
            <w:vAlign w:val="center"/>
          </w:tcPr>
          <w:p>
            <w:pPr>
              <w:ind w:left="197" w:hanging="197"/>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新鲜水</w:t>
            </w:r>
          </w:p>
        </w:tc>
        <w:tc>
          <w:tcPr>
            <w:tcW w:w="825" w:type="dxa"/>
            <w:vAlign w:val="center"/>
          </w:tcPr>
          <w:p>
            <w:pPr>
              <w:ind w:left="197" w:hanging="197"/>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w:t>
            </w:r>
            <w:r>
              <w:rPr>
                <w:rFonts w:hint="eastAsia" w:ascii="仿宋_GB2312" w:hAnsi="仿宋_GB2312" w:eastAsia="仿宋_GB2312" w:cs="仿宋_GB2312"/>
                <w:sz w:val="24"/>
                <w:szCs w:val="24"/>
                <w:vertAlign w:val="superscript"/>
              </w:rPr>
              <w:t>3</w:t>
            </w:r>
            <w:r>
              <w:rPr>
                <w:rFonts w:hint="eastAsia" w:ascii="仿宋_GB2312" w:hAnsi="仿宋_GB2312" w:eastAsia="仿宋_GB2312" w:cs="仿宋_GB2312"/>
                <w:sz w:val="24"/>
                <w:szCs w:val="24"/>
              </w:rPr>
              <w:t>/a</w:t>
            </w:r>
          </w:p>
        </w:tc>
        <w:tc>
          <w:tcPr>
            <w:tcW w:w="155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6000</w:t>
            </w:r>
          </w:p>
        </w:tc>
        <w:tc>
          <w:tcPr>
            <w:tcW w:w="4738" w:type="dxa"/>
            <w:vAlign w:val="center"/>
          </w:tcPr>
          <w:p>
            <w:pPr>
              <w:ind w:firstLine="960" w:firstLineChars="400"/>
              <w:jc w:val="both"/>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按月缴纳水资源税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w:t>
            </w:r>
          </w:p>
        </w:tc>
        <w:tc>
          <w:tcPr>
            <w:tcW w:w="8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万kwh</w:t>
            </w:r>
          </w:p>
        </w:tc>
        <w:tc>
          <w:tcPr>
            <w:tcW w:w="1555" w:type="dxa"/>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2300</w:t>
            </w:r>
          </w:p>
        </w:tc>
        <w:tc>
          <w:tcPr>
            <w:tcW w:w="4738"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当地供电局</w:t>
            </w:r>
            <w:r>
              <w:rPr>
                <w:rFonts w:hint="eastAsia" w:ascii="仿宋_GB2312" w:hAnsi="仿宋_GB2312" w:eastAsia="仿宋_GB2312" w:cs="仿宋_GB2312"/>
                <w:sz w:val="24"/>
                <w:szCs w:val="24"/>
                <w:lang w:eastAsia="zh-CN"/>
              </w:rPr>
              <w:t>供电</w:t>
            </w:r>
          </w:p>
        </w:tc>
      </w:tr>
    </w:tbl>
    <w:p>
      <w:pPr>
        <w:widowControl/>
        <w:jc w:val="left"/>
        <w:rPr>
          <w:rFonts w:hint="eastAsia" w:eastAsia="黑体"/>
          <w:sz w:val="32"/>
          <w:szCs w:val="32"/>
          <w:lang w:val="en-US" w:eastAsia="zh-CN"/>
        </w:rPr>
        <w:sectPr>
          <w:footerReference r:id="rId3" w:type="default"/>
          <w:pgSz w:w="11906" w:h="16838"/>
          <w:pgMar w:top="1781" w:right="1588" w:bottom="1985" w:left="1588" w:header="851" w:footer="352" w:gutter="0"/>
          <w:cols w:space="720" w:num="1"/>
          <w:docGrid w:type="lines" w:linePitch="312" w:charSpace="0"/>
        </w:sectPr>
      </w:pPr>
      <w:r>
        <w:rPr>
          <w:rFonts w:hint="eastAsia" w:eastAsia="黑体"/>
          <w:sz w:val="32"/>
          <w:szCs w:val="32"/>
          <w:lang w:val="en-US" w:eastAsia="zh-CN"/>
        </w:rPr>
        <w:t xml:space="preserve">                                                                                                                                                                                                                                                                                                                                                                                                                                                                                                                                                                                                                                                                                                                                                                                                                                                                                                                                                                                                                                                                                                                                                                                                                                           </w:t>
      </w:r>
    </w:p>
    <w:p>
      <w:pPr>
        <w:spacing w:line="560" w:lineRule="exact"/>
        <w:ind w:firstLine="320" w:firstLineChars="100"/>
        <w:jc w:val="left"/>
        <w:rPr>
          <w:rFonts w:eastAsia="黑体"/>
          <w:sz w:val="32"/>
          <w:szCs w:val="32"/>
        </w:rPr>
      </w:pPr>
      <w:r>
        <w:rPr>
          <w:rFonts w:hint="eastAsia" w:eastAsia="黑体"/>
          <w:sz w:val="32"/>
          <w:szCs w:val="32"/>
          <w:lang w:eastAsia="zh-CN"/>
        </w:rPr>
        <w:t>三</w:t>
      </w:r>
      <w:r>
        <w:rPr>
          <w:rFonts w:hint="eastAsia" w:eastAsia="黑体"/>
          <w:sz w:val="32"/>
          <w:szCs w:val="32"/>
        </w:rPr>
        <w:t>、排污信息</w:t>
      </w:r>
    </w:p>
    <w:tbl>
      <w:tblPr>
        <w:tblStyle w:val="12"/>
        <w:tblW w:w="12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094"/>
        <w:gridCol w:w="834"/>
        <w:gridCol w:w="1308"/>
        <w:gridCol w:w="950"/>
        <w:gridCol w:w="786"/>
        <w:gridCol w:w="714"/>
        <w:gridCol w:w="950"/>
        <w:gridCol w:w="1069"/>
        <w:gridCol w:w="1948"/>
        <w:gridCol w:w="757"/>
        <w:gridCol w:w="754"/>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989" w:type="dxa"/>
            <w:gridSpan w:val="13"/>
            <w:tcBorders>
              <w:top w:val="single" w:color="auto" w:sz="4" w:space="0"/>
              <w:left w:val="single" w:color="auto" w:sz="4" w:space="0"/>
              <w:bottom w:val="single" w:color="auto" w:sz="4" w:space="0"/>
              <w:right w:val="single" w:color="auto" w:sz="4" w:space="0"/>
            </w:tcBorders>
          </w:tcPr>
          <w:p>
            <w:pPr>
              <w:spacing w:line="500" w:lineRule="exact"/>
              <w:jc w:val="center"/>
              <w:rPr>
                <w:rFonts w:eastAsia="仿宋_GB2312"/>
                <w:b/>
                <w:sz w:val="28"/>
                <w:szCs w:val="28"/>
              </w:rPr>
            </w:pPr>
            <w:r>
              <w:rPr>
                <w:rFonts w:hint="eastAsia" w:eastAsia="仿宋_GB2312"/>
                <w:b/>
                <w:sz w:val="28"/>
                <w:szCs w:val="28"/>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044" w:type="dxa"/>
            <w:gridSpan w:val="6"/>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eastAsia="仿宋_GB2312"/>
                <w:sz w:val="24"/>
              </w:rPr>
            </w:pPr>
            <w:r>
              <w:rPr>
                <w:rFonts w:hint="eastAsia" w:eastAsia="仿宋_GB2312"/>
                <w:sz w:val="24"/>
              </w:rPr>
              <w:t>排放口数量</w:t>
            </w:r>
          </w:p>
        </w:tc>
        <w:tc>
          <w:tcPr>
            <w:tcW w:w="6945" w:type="dxa"/>
            <w:gridSpan w:val="7"/>
            <w:tcBorders>
              <w:top w:val="single" w:color="auto" w:sz="4" w:space="0"/>
              <w:left w:val="single" w:color="auto" w:sz="4" w:space="0"/>
              <w:bottom w:val="single" w:color="auto" w:sz="4" w:space="0"/>
              <w:right w:val="single" w:color="auto" w:sz="4" w:space="0"/>
            </w:tcBorders>
          </w:tcPr>
          <w:p>
            <w:pPr>
              <w:spacing w:line="500" w:lineRule="exact"/>
              <w:jc w:val="center"/>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排放口编号或名称</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排放口位置</w:t>
            </w:r>
          </w:p>
        </w:tc>
        <w:tc>
          <w:tcPr>
            <w:tcW w:w="83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排放方式</w:t>
            </w: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主要</w:t>
            </w:r>
            <w:r>
              <w:rPr>
                <w:rFonts w:eastAsia="仿宋_GB2312"/>
                <w:color w:val="000000"/>
                <w:sz w:val="24"/>
              </w:rPr>
              <w:t>/</w:t>
            </w:r>
            <w:r>
              <w:rPr>
                <w:rFonts w:hint="eastAsia" w:eastAsia="仿宋_GB2312"/>
                <w:color w:val="000000"/>
                <w:sz w:val="24"/>
              </w:rPr>
              <w:t>特征污染物名称</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排放浓度（</w:t>
            </w:r>
            <w:r>
              <w:rPr>
                <w:rFonts w:eastAsia="仿宋_GB2312"/>
                <w:color w:val="000000"/>
                <w:sz w:val="24"/>
              </w:rPr>
              <w:t xml:space="preserve">mg/L </w:t>
            </w:r>
            <w:r>
              <w:rPr>
                <w:rFonts w:hint="eastAsia" w:eastAsia="仿宋_GB2312"/>
                <w:color w:val="000000"/>
                <w:sz w:val="24"/>
              </w:rPr>
              <w:t>）</w:t>
            </w:r>
          </w:p>
        </w:tc>
        <w:tc>
          <w:tcPr>
            <w:tcW w:w="786"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监测</w:t>
            </w:r>
          </w:p>
          <w:p>
            <w:pPr>
              <w:spacing w:line="500" w:lineRule="exact"/>
              <w:ind w:left="-105" w:leftChars="-50" w:right="-105" w:rightChars="-50"/>
              <w:jc w:val="center"/>
              <w:rPr>
                <w:rFonts w:eastAsia="仿宋_GB2312"/>
                <w:color w:val="000000"/>
                <w:sz w:val="24"/>
              </w:rPr>
            </w:pPr>
            <w:r>
              <w:rPr>
                <w:rFonts w:hint="eastAsia" w:eastAsia="仿宋_GB2312"/>
                <w:color w:val="000000"/>
                <w:sz w:val="24"/>
              </w:rPr>
              <w:t>方式</w:t>
            </w:r>
          </w:p>
        </w:tc>
        <w:tc>
          <w:tcPr>
            <w:tcW w:w="71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监测</w:t>
            </w:r>
          </w:p>
          <w:p>
            <w:pPr>
              <w:spacing w:line="500" w:lineRule="exact"/>
              <w:ind w:left="-105" w:leftChars="-50" w:right="-105" w:rightChars="-50"/>
              <w:jc w:val="center"/>
              <w:rPr>
                <w:rFonts w:eastAsia="仿宋_GB2312"/>
                <w:color w:val="000000"/>
                <w:sz w:val="24"/>
              </w:rPr>
            </w:pPr>
            <w:r>
              <w:rPr>
                <w:rFonts w:hint="eastAsia" w:eastAsia="仿宋_GB2312"/>
                <w:color w:val="000000"/>
                <w:sz w:val="24"/>
              </w:rPr>
              <w:t>时间</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排放总量</w:t>
            </w:r>
          </w:p>
          <w:p>
            <w:pPr>
              <w:spacing w:line="500" w:lineRule="exact"/>
              <w:ind w:left="-105" w:leftChars="-50" w:right="-105" w:rightChars="-50"/>
              <w:jc w:val="center"/>
              <w:rPr>
                <w:rFonts w:eastAsia="仿宋_GB2312"/>
                <w:color w:val="000000"/>
                <w:sz w:val="24"/>
              </w:rPr>
            </w:pPr>
            <w:r>
              <w:rPr>
                <w:rFonts w:eastAsia="仿宋_GB2312"/>
                <w:color w:val="000000"/>
                <w:sz w:val="24"/>
              </w:rPr>
              <w:t>(kg)</w:t>
            </w: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核定的排放总量（</w:t>
            </w:r>
            <w:r>
              <w:rPr>
                <w:rFonts w:eastAsia="仿宋_GB2312"/>
                <w:color w:val="000000"/>
                <w:sz w:val="24"/>
              </w:rPr>
              <w:t>kg</w:t>
            </w:r>
            <w:r>
              <w:rPr>
                <w:rFonts w:hint="eastAsia" w:eastAsia="仿宋_GB2312"/>
                <w:color w:val="000000"/>
                <w:sz w:val="24"/>
              </w:rPr>
              <w:t>）</w:t>
            </w: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执行的污染物排放标准及浓度限值（</w:t>
            </w:r>
            <w:r>
              <w:rPr>
                <w:rFonts w:eastAsia="仿宋_GB2312"/>
                <w:color w:val="000000"/>
                <w:sz w:val="24"/>
              </w:rPr>
              <w:t>mg/L</w:t>
            </w:r>
            <w:r>
              <w:rPr>
                <w:rFonts w:hint="eastAsia" w:eastAsia="仿宋_GB2312"/>
                <w:color w:val="000000"/>
                <w:sz w:val="24"/>
              </w:rPr>
              <w:t>）</w:t>
            </w: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是否</w:t>
            </w:r>
          </w:p>
          <w:p>
            <w:pPr>
              <w:spacing w:line="500" w:lineRule="exact"/>
              <w:ind w:left="-105" w:leftChars="-50" w:right="-105" w:rightChars="-50"/>
              <w:jc w:val="center"/>
              <w:rPr>
                <w:rFonts w:eastAsia="仿宋_GB2312"/>
                <w:color w:val="000000"/>
                <w:sz w:val="24"/>
              </w:rPr>
            </w:pPr>
            <w:r>
              <w:rPr>
                <w:rFonts w:hint="eastAsia" w:eastAsia="仿宋_GB2312"/>
                <w:color w:val="000000"/>
                <w:sz w:val="24"/>
              </w:rPr>
              <w:t>超标</w:t>
            </w: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是否需要缴纳排污费（税）</w:t>
            </w:r>
          </w:p>
        </w:tc>
        <w:tc>
          <w:tcPr>
            <w:tcW w:w="753"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eastAsia="仿宋_GB2312"/>
                <w:color w:val="000000"/>
                <w:sz w:val="24"/>
              </w:rPr>
            </w:pPr>
            <w:r>
              <w:rPr>
                <w:rFonts w:hint="eastAsia" w:eastAsia="仿宋_GB2312"/>
                <w:color w:val="000000"/>
                <w:sz w:val="24"/>
              </w:rPr>
              <w:t>缴纳情况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jc w:val="center"/>
        </w:trPr>
        <w:tc>
          <w:tcPr>
            <w:tcW w:w="1072" w:type="dxa"/>
            <w:vMerge w:val="restart"/>
            <w:tcBorders>
              <w:top w:val="single" w:color="auto" w:sz="4" w:space="0"/>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r>
              <w:rPr>
                <w:rFonts w:hint="eastAsia" w:eastAsia="仿宋_GB2312"/>
                <w:color w:val="000000"/>
                <w:sz w:val="24"/>
              </w:rPr>
              <w:t>排放口1</w:t>
            </w:r>
          </w:p>
        </w:tc>
        <w:tc>
          <w:tcPr>
            <w:tcW w:w="1094" w:type="dxa"/>
            <w:vMerge w:val="restart"/>
            <w:tcBorders>
              <w:top w:val="single" w:color="auto" w:sz="4" w:space="0"/>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厂区南门西侧</w:t>
            </w:r>
          </w:p>
        </w:tc>
        <w:tc>
          <w:tcPr>
            <w:tcW w:w="834" w:type="dxa"/>
            <w:vMerge w:val="restart"/>
            <w:tcBorders>
              <w:top w:val="single" w:color="auto" w:sz="4" w:space="0"/>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处理达标后排入市政管网</w:t>
            </w: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r>
              <w:rPr>
                <w:rFonts w:hint="eastAsia" w:eastAsia="仿宋_GB2312"/>
                <w:color w:val="000000"/>
                <w:sz w:val="24"/>
              </w:rPr>
              <w:t xml:space="preserve">    COD </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74</w:t>
            </w:r>
          </w:p>
        </w:tc>
        <w:tc>
          <w:tcPr>
            <w:tcW w:w="786" w:type="dxa"/>
            <w:vMerge w:val="restart"/>
            <w:tcBorders>
              <w:top w:val="single" w:color="auto" w:sz="4" w:space="0"/>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委托检测</w:t>
            </w:r>
          </w:p>
          <w:p>
            <w:pPr>
              <w:spacing w:line="500" w:lineRule="exact"/>
              <w:ind w:left="-105" w:leftChars="-50" w:right="-105" w:rightChars="-50"/>
              <w:jc w:val="center"/>
              <w:rPr>
                <w:rFonts w:hint="eastAsia" w:eastAsia="仿宋_GB2312"/>
                <w:color w:val="000000"/>
                <w:sz w:val="24"/>
              </w:rPr>
            </w:pPr>
            <w:r>
              <w:rPr>
                <w:rFonts w:hint="eastAsia" w:eastAsia="仿宋_GB2312"/>
                <w:color w:val="000000"/>
                <w:sz w:val="24"/>
              </w:rPr>
              <w:t> </w:t>
            </w:r>
          </w:p>
        </w:tc>
        <w:tc>
          <w:tcPr>
            <w:tcW w:w="714" w:type="dxa"/>
            <w:vMerge w:val="restart"/>
            <w:tcBorders>
              <w:top w:val="single" w:color="auto" w:sz="4" w:space="0"/>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2018.3.22</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0.17</w:t>
            </w: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0.91</w:t>
            </w: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500</w:t>
            </w: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否</w:t>
            </w: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是</w:t>
            </w:r>
          </w:p>
        </w:tc>
        <w:tc>
          <w:tcPr>
            <w:tcW w:w="753" w:type="dxa"/>
            <w:vMerge w:val="restart"/>
            <w:tcBorders>
              <w:top w:val="single" w:color="auto" w:sz="4" w:space="0"/>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足额缴纳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9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83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r>
              <w:rPr>
                <w:rFonts w:hint="eastAsia" w:eastAsia="仿宋_GB2312"/>
                <w:color w:val="000000"/>
                <w:sz w:val="24"/>
              </w:rPr>
              <w:t> 氨氮</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10.2</w:t>
            </w:r>
          </w:p>
        </w:tc>
        <w:tc>
          <w:tcPr>
            <w:tcW w:w="786"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1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0.024</w:t>
            </w: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0.08</w:t>
            </w: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35</w:t>
            </w: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否</w:t>
            </w: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是</w:t>
            </w:r>
          </w:p>
        </w:tc>
        <w:tc>
          <w:tcPr>
            <w:tcW w:w="753"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9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83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r>
              <w:rPr>
                <w:rFonts w:hint="eastAsia" w:eastAsia="仿宋_GB2312"/>
                <w:color w:val="000000"/>
                <w:sz w:val="24"/>
              </w:rPr>
              <w:t> </w:t>
            </w:r>
            <w:r>
              <w:rPr>
                <w:rFonts w:hint="eastAsia" w:eastAsia="仿宋_GB2312"/>
                <w:color w:val="000000"/>
                <w:sz w:val="24"/>
                <w:lang w:val="en-US" w:eastAsia="zh-CN"/>
              </w:rPr>
              <w:t>PH</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7.45-7.66</w:t>
            </w:r>
          </w:p>
        </w:tc>
        <w:tc>
          <w:tcPr>
            <w:tcW w:w="786"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1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6-9</w:t>
            </w: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否</w:t>
            </w: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r>
              <w:rPr>
                <w:rFonts w:hint="eastAsia" w:eastAsia="仿宋_GB2312"/>
                <w:color w:val="000000"/>
                <w:sz w:val="24"/>
                <w:lang w:eastAsia="zh-CN"/>
              </w:rPr>
              <w:t>是</w:t>
            </w:r>
          </w:p>
        </w:tc>
        <w:tc>
          <w:tcPr>
            <w:tcW w:w="753"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9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83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SS</w:t>
            </w: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r>
              <w:rPr>
                <w:rFonts w:hint="eastAsia" w:eastAsia="仿宋_GB2312"/>
                <w:color w:val="000000"/>
                <w:sz w:val="24"/>
                <w:lang w:val="en-US" w:eastAsia="zh-CN"/>
              </w:rPr>
              <w:t>28</w:t>
            </w:r>
          </w:p>
        </w:tc>
        <w:tc>
          <w:tcPr>
            <w:tcW w:w="786"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1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r>
              <w:rPr>
                <w:rFonts w:hint="eastAsia" w:eastAsia="仿宋_GB2312"/>
                <w:color w:val="000000"/>
                <w:sz w:val="24"/>
              </w:rPr>
              <w:t> </w:t>
            </w: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p>
        </w:tc>
        <w:tc>
          <w:tcPr>
            <w:tcW w:w="753"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9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83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786"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1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53"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9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83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786"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1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53"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72"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9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834" w:type="dxa"/>
            <w:vMerge w:val="continue"/>
            <w:tcBorders>
              <w:left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30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val="en-US" w:eastAsia="zh-CN"/>
              </w:rPr>
            </w:pPr>
          </w:p>
        </w:tc>
        <w:tc>
          <w:tcPr>
            <w:tcW w:w="786" w:type="dxa"/>
            <w:vMerge w:val="continue"/>
            <w:tcBorders>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14" w:type="dxa"/>
            <w:vMerge w:val="continue"/>
            <w:tcBorders>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069"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1948"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lang w:eastAsia="zh-CN"/>
              </w:rPr>
            </w:pPr>
          </w:p>
        </w:tc>
        <w:tc>
          <w:tcPr>
            <w:tcW w:w="757"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54" w:type="dxa"/>
            <w:tcBorders>
              <w:top w:val="single" w:color="auto" w:sz="4" w:space="0"/>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c>
          <w:tcPr>
            <w:tcW w:w="753" w:type="dxa"/>
            <w:vMerge w:val="continue"/>
            <w:tcBorders>
              <w:left w:val="single" w:color="auto" w:sz="4" w:space="0"/>
              <w:bottom w:val="single" w:color="auto" w:sz="4" w:space="0"/>
              <w:right w:val="single" w:color="auto" w:sz="4" w:space="0"/>
            </w:tcBorders>
            <w:vAlign w:val="center"/>
          </w:tcPr>
          <w:p>
            <w:pPr>
              <w:spacing w:line="500" w:lineRule="exact"/>
              <w:ind w:left="-105" w:leftChars="-50" w:right="-105" w:rightChars="-50"/>
              <w:jc w:val="center"/>
              <w:rPr>
                <w:rFonts w:hint="eastAsia" w:eastAsia="仿宋_GB2312"/>
                <w:color w:val="000000"/>
                <w:sz w:val="24"/>
              </w:rPr>
            </w:pPr>
          </w:p>
        </w:tc>
      </w:tr>
    </w:tbl>
    <w:p>
      <w:pPr>
        <w:spacing w:line="400" w:lineRule="exact"/>
      </w:pPr>
      <w:r>
        <w:rPr>
          <w:rFonts w:hint="eastAsia" w:ascii="黑体" w:hAnsi="黑体" w:eastAsia="黑体"/>
        </w:rPr>
        <w:t>备注</w:t>
      </w:r>
      <w:r>
        <w:rPr>
          <w:rFonts w:hint="eastAsia"/>
        </w:rPr>
        <w:t>：</w:t>
      </w:r>
      <w:r>
        <w:rPr>
          <w:rFonts w:hint="eastAsia" w:ascii="楷体" w:hAnsi="楷体" w:eastAsia="楷体"/>
        </w:rPr>
        <w:t>纳管企业排放总量是以排放口排放浓度来计算。核定的排放总量是指经环保部门许可的排放量。</w:t>
      </w:r>
      <w:r>
        <w:br w:type="page"/>
      </w:r>
    </w:p>
    <w:tbl>
      <w:tblPr>
        <w:tblStyle w:val="12"/>
        <w:tblW w:w="15318" w:type="dxa"/>
        <w:tblInd w:w="-1118" w:type="dxa"/>
        <w:shd w:val="clear" w:color="auto" w:fill="auto"/>
        <w:tblLayout w:type="fixed"/>
        <w:tblCellMar>
          <w:top w:w="0" w:type="dxa"/>
          <w:left w:w="0" w:type="dxa"/>
          <w:bottom w:w="0" w:type="dxa"/>
          <w:right w:w="0" w:type="dxa"/>
        </w:tblCellMar>
      </w:tblPr>
      <w:tblGrid>
        <w:gridCol w:w="990"/>
        <w:gridCol w:w="2013"/>
        <w:gridCol w:w="987"/>
        <w:gridCol w:w="1046"/>
        <w:gridCol w:w="1188"/>
        <w:gridCol w:w="1232"/>
        <w:gridCol w:w="1712"/>
        <w:gridCol w:w="901"/>
        <w:gridCol w:w="983"/>
        <w:gridCol w:w="1188"/>
        <w:gridCol w:w="869"/>
        <w:gridCol w:w="988"/>
        <w:gridCol w:w="1221"/>
      </w:tblGrid>
      <w:tr>
        <w:tblPrEx>
          <w:shd w:val="clear" w:color="auto" w:fill="auto"/>
          <w:tblLayout w:type="fixed"/>
          <w:tblCellMar>
            <w:top w:w="0" w:type="dxa"/>
            <w:left w:w="0" w:type="dxa"/>
            <w:bottom w:w="0" w:type="dxa"/>
            <w:right w:w="0" w:type="dxa"/>
          </w:tblCellMar>
        </w:tblPrEx>
        <w:trPr>
          <w:trHeight w:val="449" w:hRule="atLeast"/>
        </w:trPr>
        <w:tc>
          <w:tcPr>
            <w:tcW w:w="15318" w:type="dxa"/>
            <w:gridSpan w:val="1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_GB2312" w:hAnsi="宋体" w:eastAsia="仿宋_GB2312" w:cs="仿宋_GB2312"/>
                <w:b/>
                <w:i w:val="0"/>
                <w:color w:val="auto"/>
                <w:sz w:val="28"/>
                <w:szCs w:val="28"/>
                <w:u w:val="none"/>
              </w:rPr>
            </w:pPr>
            <w:r>
              <w:rPr>
                <w:rFonts w:hint="eastAsia" w:ascii="仿宋_GB2312" w:hAnsi="宋体" w:eastAsia="仿宋_GB2312" w:cs="仿宋_GB2312"/>
                <w:b/>
                <w:i w:val="0"/>
                <w:color w:val="auto"/>
                <w:kern w:val="0"/>
                <w:sz w:val="28"/>
                <w:szCs w:val="28"/>
                <w:u w:val="none"/>
                <w:lang w:val="en-US" w:eastAsia="zh-CN" w:bidi="ar"/>
              </w:rPr>
              <w:t>大气污染物</w:t>
            </w:r>
          </w:p>
        </w:tc>
      </w:tr>
      <w:tr>
        <w:tblPrEx>
          <w:tblLayout w:type="fixed"/>
          <w:tblCellMar>
            <w:top w:w="0" w:type="dxa"/>
            <w:left w:w="0" w:type="dxa"/>
            <w:bottom w:w="0" w:type="dxa"/>
            <w:right w:w="0" w:type="dxa"/>
          </w:tblCellMar>
        </w:tblPrEx>
        <w:trPr>
          <w:trHeight w:val="224" w:hRule="atLeast"/>
        </w:trPr>
        <w:tc>
          <w:tcPr>
            <w:tcW w:w="7456" w:type="dxa"/>
            <w:gridSpan w:val="6"/>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排放口数量</w:t>
            </w:r>
          </w:p>
        </w:tc>
        <w:tc>
          <w:tcPr>
            <w:tcW w:w="7862" w:type="dxa"/>
            <w:gridSpan w:val="7"/>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Calibri" w:hAnsi="Calibri" w:eastAsia="宋体" w:cs="Calibri"/>
                <w:i w:val="0"/>
                <w:color w:val="auto"/>
                <w:sz w:val="30"/>
                <w:szCs w:val="30"/>
                <w:u w:val="none"/>
              </w:rPr>
            </w:pPr>
            <w:r>
              <w:rPr>
                <w:rFonts w:hint="default" w:ascii="Calibri" w:hAnsi="Calibri" w:eastAsia="宋体" w:cs="Calibri"/>
                <w:i w:val="0"/>
                <w:color w:val="auto"/>
                <w:kern w:val="0"/>
                <w:sz w:val="30"/>
                <w:szCs w:val="30"/>
                <w:u w:val="none"/>
                <w:lang w:val="en-US" w:eastAsia="zh-CN" w:bidi="ar"/>
              </w:rPr>
              <w:t>　</w:t>
            </w:r>
          </w:p>
        </w:tc>
      </w:tr>
      <w:tr>
        <w:tblPrEx>
          <w:tblLayout w:type="fixed"/>
          <w:tblCellMar>
            <w:top w:w="0" w:type="dxa"/>
            <w:left w:w="0" w:type="dxa"/>
            <w:bottom w:w="0" w:type="dxa"/>
            <w:right w:w="0" w:type="dxa"/>
          </w:tblCellMar>
        </w:tblPrEx>
        <w:trPr>
          <w:trHeight w:val="1485" w:hRule="atLeast"/>
        </w:trPr>
        <w:tc>
          <w:tcPr>
            <w:tcW w:w="990"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排放口编号或名称</w:t>
            </w:r>
          </w:p>
        </w:tc>
        <w:tc>
          <w:tcPr>
            <w:tcW w:w="201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排放口位置</w:t>
            </w:r>
          </w:p>
        </w:tc>
        <w:tc>
          <w:tcPr>
            <w:tcW w:w="987"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排放方式</w:t>
            </w:r>
          </w:p>
        </w:tc>
        <w:tc>
          <w:tcPr>
            <w:tcW w:w="1046"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主要</w:t>
            </w:r>
            <w:r>
              <w:rPr>
                <w:rStyle w:val="28"/>
                <w:rFonts w:eastAsia="仿宋_GB2312"/>
                <w:lang w:val="en-US" w:eastAsia="zh-CN" w:bidi="ar"/>
              </w:rPr>
              <w:t>/</w:t>
            </w:r>
            <w:r>
              <w:rPr>
                <w:rStyle w:val="29"/>
                <w:rFonts w:hAnsi="宋体"/>
                <w:lang w:val="en-US" w:eastAsia="zh-CN" w:bidi="ar"/>
              </w:rPr>
              <w:t>特征污染物名称</w:t>
            </w:r>
          </w:p>
        </w:tc>
        <w:tc>
          <w:tcPr>
            <w:tcW w:w="118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排放浓度（</w:t>
            </w:r>
            <w:r>
              <w:rPr>
                <w:rStyle w:val="28"/>
                <w:rFonts w:eastAsia="仿宋_GB2312"/>
                <w:lang w:val="en-US" w:eastAsia="zh-CN" w:bidi="ar"/>
              </w:rPr>
              <w:t>mg/m</w:t>
            </w:r>
            <w:r>
              <w:rPr>
                <w:rStyle w:val="30"/>
                <w:rFonts w:eastAsia="仿宋_GB2312"/>
                <w:vertAlign w:val="superscript"/>
                <w:lang w:val="en-US" w:eastAsia="zh-CN" w:bidi="ar"/>
              </w:rPr>
              <w:t>3</w:t>
            </w:r>
            <w:r>
              <w:rPr>
                <w:rStyle w:val="29"/>
                <w:rFonts w:hAnsi="宋体"/>
                <w:lang w:val="en-US" w:eastAsia="zh-CN" w:bidi="ar"/>
              </w:rPr>
              <w:t>）</w:t>
            </w:r>
          </w:p>
        </w:tc>
        <w:tc>
          <w:tcPr>
            <w:tcW w:w="12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监测</w:t>
            </w:r>
          </w:p>
        </w:tc>
        <w:tc>
          <w:tcPr>
            <w:tcW w:w="17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监测</w:t>
            </w:r>
          </w:p>
        </w:tc>
        <w:tc>
          <w:tcPr>
            <w:tcW w:w="901"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排放总量</w:t>
            </w:r>
            <w:r>
              <w:rPr>
                <w:rStyle w:val="28"/>
                <w:rFonts w:eastAsia="仿宋_GB2312"/>
                <w:lang w:val="en-US" w:eastAsia="zh-CN" w:bidi="ar"/>
              </w:rPr>
              <w:t>(kg)</w:t>
            </w:r>
          </w:p>
        </w:tc>
        <w:tc>
          <w:tcPr>
            <w:tcW w:w="98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核定的排放总量（</w:t>
            </w:r>
            <w:r>
              <w:rPr>
                <w:rStyle w:val="28"/>
                <w:rFonts w:eastAsia="仿宋_GB2312"/>
                <w:lang w:val="en-US" w:eastAsia="zh-CN" w:bidi="ar"/>
              </w:rPr>
              <w:t>kg</w:t>
            </w:r>
            <w:r>
              <w:rPr>
                <w:rStyle w:val="29"/>
                <w:rFonts w:hAnsi="宋体"/>
                <w:lang w:val="en-US" w:eastAsia="zh-CN" w:bidi="ar"/>
              </w:rPr>
              <w:t>）</w:t>
            </w:r>
          </w:p>
        </w:tc>
        <w:tc>
          <w:tcPr>
            <w:tcW w:w="118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执行的污染物排放标准及浓度限值（</w:t>
            </w:r>
            <w:r>
              <w:rPr>
                <w:rStyle w:val="28"/>
                <w:rFonts w:eastAsia="仿宋_GB2312"/>
                <w:lang w:val="en-US" w:eastAsia="zh-CN" w:bidi="ar"/>
              </w:rPr>
              <w:t>mg/m</w:t>
            </w:r>
            <w:r>
              <w:rPr>
                <w:rStyle w:val="30"/>
                <w:rFonts w:eastAsia="仿宋_GB2312"/>
                <w:vertAlign w:val="superscript"/>
                <w:lang w:val="en-US" w:eastAsia="zh-CN" w:bidi="ar"/>
              </w:rPr>
              <w:t>3</w:t>
            </w:r>
            <w:r>
              <w:rPr>
                <w:rStyle w:val="29"/>
                <w:rFonts w:hAnsi="宋体"/>
                <w:lang w:val="en-US" w:eastAsia="zh-CN" w:bidi="ar"/>
              </w:rPr>
              <w:t>）</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是否</w:t>
            </w:r>
          </w:p>
        </w:tc>
        <w:tc>
          <w:tcPr>
            <w:tcW w:w="98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是否需要缴纳排污费（税）</w:t>
            </w:r>
          </w:p>
        </w:tc>
        <w:tc>
          <w:tcPr>
            <w:tcW w:w="1221"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缴纳情况</w:t>
            </w:r>
          </w:p>
        </w:tc>
      </w:tr>
      <w:tr>
        <w:tblPrEx>
          <w:tblLayout w:type="fixed"/>
          <w:tblCellMar>
            <w:top w:w="0" w:type="dxa"/>
            <w:left w:w="0" w:type="dxa"/>
            <w:bottom w:w="0" w:type="dxa"/>
            <w:right w:w="0" w:type="dxa"/>
          </w:tblCellMar>
        </w:tblPrEx>
        <w:trPr>
          <w:trHeight w:val="300" w:hRule="atLeast"/>
        </w:trPr>
        <w:tc>
          <w:tcPr>
            <w:tcW w:w="990"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201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987"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046"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18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2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时间</w:t>
            </w:r>
          </w:p>
        </w:tc>
        <w:tc>
          <w:tcPr>
            <w:tcW w:w="171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方式</w:t>
            </w:r>
          </w:p>
        </w:tc>
        <w:tc>
          <w:tcPr>
            <w:tcW w:w="901"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98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18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超标</w:t>
            </w:r>
          </w:p>
        </w:tc>
        <w:tc>
          <w:tcPr>
            <w:tcW w:w="98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221"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r>
      <w:tr>
        <w:tblPrEx>
          <w:tblLayout w:type="fixed"/>
          <w:tblCellMar>
            <w:top w:w="0" w:type="dxa"/>
            <w:left w:w="0" w:type="dxa"/>
            <w:bottom w:w="0" w:type="dxa"/>
            <w:right w:w="0" w:type="dxa"/>
          </w:tblCellMar>
        </w:tblPrEx>
        <w:trPr>
          <w:trHeight w:val="300"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FQ-001</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刨片间西侧</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2.7</w:t>
            </w:r>
          </w:p>
        </w:tc>
        <w:tc>
          <w:tcPr>
            <w:tcW w:w="1232"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2017.11.17</w:t>
            </w:r>
          </w:p>
        </w:tc>
        <w:tc>
          <w:tcPr>
            <w:tcW w:w="1712"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委托第三方检测</w:t>
            </w: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550</w:t>
            </w:r>
          </w:p>
        </w:tc>
        <w:tc>
          <w:tcPr>
            <w:tcW w:w="9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75"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FQ-002</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打磨、筛选车间南侧</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628</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30"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FQ-003</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铺装、预压车间西侧</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860</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00"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FQ-004</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砂光车间北部</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1423</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45"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FQ-005</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砂光车间北部</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730</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285"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FQ-006</w:t>
            </w:r>
          </w:p>
        </w:tc>
        <w:tc>
          <w:tcPr>
            <w:tcW w:w="201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铺装、预压车间西部   （合二为一）</w:t>
            </w:r>
          </w:p>
        </w:tc>
        <w:tc>
          <w:tcPr>
            <w:tcW w:w="987"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3.33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197</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255"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FQ-007</w:t>
            </w:r>
          </w:p>
        </w:tc>
        <w:tc>
          <w:tcPr>
            <w:tcW w:w="201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87"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甲醛</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2.28</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144</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240" w:hRule="atLeast"/>
        </w:trPr>
        <w:tc>
          <w:tcPr>
            <w:tcW w:w="990"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FQ-008</w:t>
            </w:r>
          </w:p>
        </w:tc>
        <w:tc>
          <w:tcPr>
            <w:tcW w:w="2013"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铺装预压车间西侧</w:t>
            </w:r>
          </w:p>
        </w:tc>
        <w:tc>
          <w:tcPr>
            <w:tcW w:w="987"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24</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5357</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50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45" w:hRule="atLeast"/>
        </w:trPr>
        <w:tc>
          <w:tcPr>
            <w:tcW w:w="990"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201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87"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二氧化硫</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7.7</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894</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19380</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400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00" w:hRule="atLeast"/>
        </w:trPr>
        <w:tc>
          <w:tcPr>
            <w:tcW w:w="990"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2013"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87"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氮氧化物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147.3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 xml:space="preserve">19000 </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20400</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400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45"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FQ-009</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调胶车间西侧</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102</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300"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FQ-010</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刨片间北侧</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3.3</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45</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r>
        <w:tblPrEx>
          <w:tblLayout w:type="fixed"/>
          <w:tblCellMar>
            <w:top w:w="0" w:type="dxa"/>
            <w:left w:w="0" w:type="dxa"/>
            <w:bottom w:w="0" w:type="dxa"/>
            <w:right w:w="0" w:type="dxa"/>
          </w:tblCellMar>
        </w:tblPrEx>
        <w:trPr>
          <w:trHeight w:val="465" w:hRule="atLeast"/>
        </w:trPr>
        <w:tc>
          <w:tcPr>
            <w:tcW w:w="99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FQ-011</w:t>
            </w:r>
          </w:p>
        </w:tc>
        <w:tc>
          <w:tcPr>
            <w:tcW w:w="20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干燥辊筒南侧</w:t>
            </w:r>
          </w:p>
        </w:tc>
        <w:tc>
          <w:tcPr>
            <w:tcW w:w="9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排环境</w:t>
            </w:r>
          </w:p>
        </w:tc>
        <w:tc>
          <w:tcPr>
            <w:tcW w:w="104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颗粒物</w:t>
            </w: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2</w:t>
            </w:r>
          </w:p>
        </w:tc>
        <w:tc>
          <w:tcPr>
            <w:tcW w:w="123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712"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90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84</w:t>
            </w:r>
          </w:p>
        </w:tc>
        <w:tc>
          <w:tcPr>
            <w:tcW w:w="98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c>
          <w:tcPr>
            <w:tcW w:w="11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120</w:t>
            </w:r>
          </w:p>
        </w:tc>
        <w:tc>
          <w:tcPr>
            <w:tcW w:w="86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否</w:t>
            </w:r>
          </w:p>
        </w:tc>
        <w:tc>
          <w:tcPr>
            <w:tcW w:w="9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是</w:t>
            </w:r>
          </w:p>
        </w:tc>
        <w:tc>
          <w:tcPr>
            <w:tcW w:w="12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足额缴纳</w:t>
            </w:r>
          </w:p>
        </w:tc>
      </w:tr>
    </w:tbl>
    <w:p>
      <w:pPr>
        <w:keepNext w:val="0"/>
        <w:keepLines w:val="0"/>
        <w:widowControl/>
        <w:suppressLineNumbers w:val="0"/>
        <w:jc w:val="center"/>
        <w:textAlignment w:val="center"/>
      </w:pPr>
      <w:r>
        <w:rPr>
          <w:rFonts w:hint="eastAsia" w:ascii="仿宋_GB2312" w:hAnsi="宋体" w:eastAsia="仿宋_GB2312" w:cs="仿宋_GB2312"/>
          <w:i w:val="0"/>
          <w:color w:val="auto"/>
          <w:kern w:val="0"/>
          <w:sz w:val="24"/>
          <w:szCs w:val="24"/>
          <w:u w:val="none"/>
          <w:lang w:val="en-US" w:eastAsia="zh-CN" w:bidi="ar"/>
        </w:rPr>
        <w:br w:type="page"/>
      </w:r>
    </w:p>
    <w:tbl>
      <w:tblPr>
        <w:tblStyle w:val="12"/>
        <w:tblW w:w="15638" w:type="dxa"/>
        <w:tblInd w:w="-1298" w:type="dxa"/>
        <w:shd w:val="clear" w:color="auto" w:fill="auto"/>
        <w:tblLayout w:type="fixed"/>
        <w:tblCellMar>
          <w:top w:w="0" w:type="dxa"/>
          <w:left w:w="0" w:type="dxa"/>
          <w:bottom w:w="0" w:type="dxa"/>
          <w:right w:w="0" w:type="dxa"/>
        </w:tblCellMar>
      </w:tblPr>
      <w:tblGrid>
        <w:gridCol w:w="4140"/>
        <w:gridCol w:w="1950"/>
        <w:gridCol w:w="195"/>
        <w:gridCol w:w="1470"/>
        <w:gridCol w:w="615"/>
        <w:gridCol w:w="1290"/>
        <w:gridCol w:w="915"/>
        <w:gridCol w:w="1380"/>
        <w:gridCol w:w="915"/>
        <w:gridCol w:w="1688"/>
        <w:gridCol w:w="22"/>
        <w:gridCol w:w="1058"/>
      </w:tblGrid>
      <w:tr>
        <w:tblPrEx>
          <w:shd w:val="clear" w:color="auto" w:fill="auto"/>
          <w:tblLayout w:type="fixed"/>
          <w:tblCellMar>
            <w:top w:w="0" w:type="dxa"/>
            <w:left w:w="0" w:type="dxa"/>
            <w:bottom w:w="0" w:type="dxa"/>
            <w:right w:w="0" w:type="dxa"/>
          </w:tblCellMar>
        </w:tblPrEx>
        <w:trPr>
          <w:trHeight w:val="224" w:hRule="atLeast"/>
        </w:trPr>
        <w:tc>
          <w:tcPr>
            <w:tcW w:w="15638" w:type="dxa"/>
            <w:gridSpan w:val="1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auto"/>
                <w:sz w:val="28"/>
                <w:szCs w:val="28"/>
                <w:u w:val="none"/>
              </w:rPr>
            </w:pPr>
            <w:r>
              <w:rPr>
                <w:rFonts w:hint="eastAsia" w:ascii="仿宋_GB2312" w:hAnsi="宋体" w:eastAsia="仿宋_GB2312" w:cs="仿宋_GB2312"/>
                <w:b/>
                <w:i w:val="0"/>
                <w:color w:val="auto"/>
                <w:kern w:val="0"/>
                <w:sz w:val="28"/>
                <w:szCs w:val="28"/>
                <w:u w:val="none"/>
                <w:lang w:val="en-US" w:eastAsia="zh-CN" w:bidi="ar"/>
              </w:rPr>
              <w:t>固体废物</w:t>
            </w:r>
          </w:p>
        </w:tc>
      </w:tr>
      <w:tr>
        <w:tblPrEx>
          <w:tblLayout w:type="fixed"/>
          <w:tblCellMar>
            <w:top w:w="0" w:type="dxa"/>
            <w:left w:w="0" w:type="dxa"/>
            <w:bottom w:w="0" w:type="dxa"/>
            <w:right w:w="0" w:type="dxa"/>
          </w:tblCellMar>
        </w:tblPrEx>
        <w:trPr>
          <w:trHeight w:val="480"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废物名称</w:t>
            </w:r>
          </w:p>
        </w:tc>
        <w:tc>
          <w:tcPr>
            <w:tcW w:w="1950"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是否危险废物</w:t>
            </w:r>
          </w:p>
        </w:tc>
        <w:tc>
          <w:tcPr>
            <w:tcW w:w="2280" w:type="dxa"/>
            <w:gridSpan w:val="3"/>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处理处置方式</w:t>
            </w:r>
          </w:p>
        </w:tc>
        <w:tc>
          <w:tcPr>
            <w:tcW w:w="220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处理处置数量（</w:t>
            </w:r>
            <w:r>
              <w:rPr>
                <w:rFonts w:ascii="Calibri" w:hAnsi="Calibri" w:eastAsia="仿宋_GB2312" w:cs="Calibri"/>
                <w:i w:val="0"/>
                <w:color w:val="auto"/>
                <w:kern w:val="0"/>
                <w:sz w:val="24"/>
                <w:szCs w:val="24"/>
                <w:u w:val="none"/>
                <w:lang w:val="en-US" w:eastAsia="zh-CN" w:bidi="ar"/>
              </w:rPr>
              <w:t>kg</w:t>
            </w:r>
            <w:r>
              <w:rPr>
                <w:rFonts w:hint="eastAsia" w:ascii="仿宋_GB2312" w:hAnsi="宋体" w:eastAsia="仿宋_GB2312" w:cs="仿宋_GB2312"/>
                <w:i w:val="0"/>
                <w:color w:val="auto"/>
                <w:kern w:val="0"/>
                <w:sz w:val="24"/>
                <w:szCs w:val="24"/>
                <w:u w:val="none"/>
                <w:lang w:val="en-US" w:eastAsia="zh-CN" w:bidi="ar"/>
              </w:rPr>
              <w:t>）</w:t>
            </w:r>
          </w:p>
        </w:tc>
        <w:tc>
          <w:tcPr>
            <w:tcW w:w="229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处置去向</w:t>
            </w:r>
          </w:p>
        </w:tc>
        <w:tc>
          <w:tcPr>
            <w:tcW w:w="168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是否需要缴纳排污费（税）</w:t>
            </w:r>
          </w:p>
        </w:tc>
        <w:tc>
          <w:tcPr>
            <w:tcW w:w="108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缴纳情况</w:t>
            </w:r>
          </w:p>
        </w:tc>
      </w:tr>
      <w:tr>
        <w:tblPrEx>
          <w:tblLayout w:type="fixed"/>
          <w:tblCellMar>
            <w:top w:w="0" w:type="dxa"/>
            <w:left w:w="0" w:type="dxa"/>
            <w:bottom w:w="0" w:type="dxa"/>
            <w:right w:w="0" w:type="dxa"/>
          </w:tblCellMar>
        </w:tblPrEx>
        <w:trPr>
          <w:trHeight w:val="905"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刨片；碎单板、刨花筛选、打磨、计量、预压；砂光；连续热压；旋风脉冲布袋除尘器B、C收集的粉尘</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w:t>
            </w:r>
          </w:p>
        </w:tc>
        <w:tc>
          <w:tcPr>
            <w:tcW w:w="2280" w:type="dxa"/>
            <w:gridSpan w:val="3"/>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全部进热能中心燃烧</w:t>
            </w:r>
          </w:p>
        </w:tc>
        <w:tc>
          <w:tcPr>
            <w:tcW w:w="2205" w:type="dxa"/>
            <w:gridSpan w:val="2"/>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9005000</w:t>
            </w:r>
          </w:p>
        </w:tc>
        <w:tc>
          <w:tcPr>
            <w:tcW w:w="2295" w:type="dxa"/>
            <w:gridSpan w:val="2"/>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全部进热能中心燃烧</w:t>
            </w:r>
          </w:p>
        </w:tc>
        <w:tc>
          <w:tcPr>
            <w:tcW w:w="1710" w:type="dxa"/>
            <w:gridSpan w:val="2"/>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　</w:t>
            </w:r>
          </w:p>
        </w:tc>
        <w:tc>
          <w:tcPr>
            <w:tcW w:w="1058" w:type="dxa"/>
            <w:vMerge w:val="restart"/>
            <w:tcBorders>
              <w:top w:val="single" w:color="auto" w:sz="4" w:space="0"/>
              <w:left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r>
      <w:tr>
        <w:tblPrEx>
          <w:tblLayout w:type="fixed"/>
          <w:tblCellMar>
            <w:top w:w="0" w:type="dxa"/>
            <w:left w:w="0" w:type="dxa"/>
            <w:bottom w:w="0" w:type="dxa"/>
            <w:right w:w="0" w:type="dxa"/>
          </w:tblCellMar>
        </w:tblPrEx>
        <w:trPr>
          <w:trHeight w:val="287"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齐边、截锯产生的下脚料</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w:t>
            </w:r>
          </w:p>
        </w:tc>
        <w:tc>
          <w:tcPr>
            <w:tcW w:w="228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2205" w:type="dxa"/>
            <w:gridSpan w:val="2"/>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2295" w:type="dxa"/>
            <w:gridSpan w:val="2"/>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710" w:type="dxa"/>
            <w:gridSpan w:val="2"/>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c>
          <w:tcPr>
            <w:tcW w:w="1058" w:type="dxa"/>
            <w:vMerge w:val="continue"/>
            <w:tcBorders>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auto"/>
                <w:sz w:val="24"/>
                <w:szCs w:val="24"/>
                <w:u w:val="none"/>
              </w:rPr>
            </w:pPr>
          </w:p>
        </w:tc>
      </w:tr>
      <w:tr>
        <w:tblPrEx>
          <w:tblLayout w:type="fixed"/>
          <w:tblCellMar>
            <w:top w:w="0" w:type="dxa"/>
            <w:left w:w="0" w:type="dxa"/>
            <w:bottom w:w="0" w:type="dxa"/>
            <w:right w:w="0" w:type="dxa"/>
          </w:tblCellMar>
        </w:tblPrEx>
        <w:trPr>
          <w:trHeight w:val="1095"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铺装；齐边、截锯；纵横裁板；干燥、热能中心；旋风脉冲布袋除尘A收集的粉尘</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w:t>
            </w:r>
          </w:p>
        </w:tc>
        <w:tc>
          <w:tcPr>
            <w:tcW w:w="228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全部做原料回用</w:t>
            </w:r>
          </w:p>
        </w:tc>
        <w:tc>
          <w:tcPr>
            <w:tcW w:w="220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6019570</w:t>
            </w:r>
          </w:p>
        </w:tc>
        <w:tc>
          <w:tcPr>
            <w:tcW w:w="229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全部做原料回用</w:t>
            </w:r>
          </w:p>
        </w:tc>
        <w:tc>
          <w:tcPr>
            <w:tcW w:w="17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　</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r>
      <w:tr>
        <w:tblPrEx>
          <w:tblLayout w:type="fixed"/>
          <w:tblCellMar>
            <w:top w:w="0" w:type="dxa"/>
            <w:left w:w="0" w:type="dxa"/>
            <w:bottom w:w="0" w:type="dxa"/>
            <w:right w:w="0" w:type="dxa"/>
          </w:tblCellMar>
        </w:tblPrEx>
        <w:trPr>
          <w:trHeight w:val="190"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热能中心燃烧灰渣</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w:t>
            </w:r>
          </w:p>
        </w:tc>
        <w:tc>
          <w:tcPr>
            <w:tcW w:w="228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外售做农田肥料</w:t>
            </w:r>
          </w:p>
        </w:tc>
        <w:tc>
          <w:tcPr>
            <w:tcW w:w="220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29700</w:t>
            </w:r>
          </w:p>
        </w:tc>
        <w:tc>
          <w:tcPr>
            <w:tcW w:w="229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外售做农田肥料</w:t>
            </w:r>
          </w:p>
        </w:tc>
        <w:tc>
          <w:tcPr>
            <w:tcW w:w="17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　</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r>
      <w:tr>
        <w:tblPrEx>
          <w:tblLayout w:type="fixed"/>
          <w:tblCellMar>
            <w:top w:w="0" w:type="dxa"/>
            <w:left w:w="0" w:type="dxa"/>
            <w:bottom w:w="0" w:type="dxa"/>
            <w:right w:w="0" w:type="dxa"/>
          </w:tblCellMar>
        </w:tblPrEx>
        <w:trPr>
          <w:trHeight w:val="275"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原料包装物</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w:t>
            </w:r>
          </w:p>
        </w:tc>
        <w:tc>
          <w:tcPr>
            <w:tcW w:w="228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外售再利用</w:t>
            </w:r>
          </w:p>
        </w:tc>
        <w:tc>
          <w:tcPr>
            <w:tcW w:w="220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270</w:t>
            </w:r>
          </w:p>
        </w:tc>
        <w:tc>
          <w:tcPr>
            <w:tcW w:w="229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外售再利用</w:t>
            </w:r>
          </w:p>
        </w:tc>
        <w:tc>
          <w:tcPr>
            <w:tcW w:w="17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　</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r>
      <w:tr>
        <w:tblPrEx>
          <w:tblLayout w:type="fixed"/>
          <w:tblCellMar>
            <w:top w:w="0" w:type="dxa"/>
            <w:left w:w="0" w:type="dxa"/>
            <w:bottom w:w="0" w:type="dxa"/>
            <w:right w:w="0" w:type="dxa"/>
          </w:tblCellMar>
        </w:tblPrEx>
        <w:trPr>
          <w:trHeight w:val="530"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废活性炭</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是</w:t>
            </w:r>
          </w:p>
        </w:tc>
        <w:tc>
          <w:tcPr>
            <w:tcW w:w="228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委托有资质的第三方进行处置</w:t>
            </w:r>
          </w:p>
        </w:tc>
        <w:tc>
          <w:tcPr>
            <w:tcW w:w="220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3000</w:t>
            </w:r>
          </w:p>
        </w:tc>
        <w:tc>
          <w:tcPr>
            <w:tcW w:w="229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衡水睿韬环保技术有限公司</w:t>
            </w:r>
          </w:p>
        </w:tc>
        <w:tc>
          <w:tcPr>
            <w:tcW w:w="17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　</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r>
      <w:tr>
        <w:tblPrEx>
          <w:tblLayout w:type="fixed"/>
          <w:tblCellMar>
            <w:top w:w="0" w:type="dxa"/>
            <w:left w:w="0" w:type="dxa"/>
            <w:bottom w:w="0" w:type="dxa"/>
            <w:right w:w="0" w:type="dxa"/>
          </w:tblCellMar>
        </w:tblPrEx>
        <w:trPr>
          <w:trHeight w:val="284" w:hRule="atLeast"/>
        </w:trPr>
        <w:tc>
          <w:tcPr>
            <w:tcW w:w="41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生活垃圾</w:t>
            </w:r>
          </w:p>
        </w:tc>
        <w:tc>
          <w:tcPr>
            <w:tcW w:w="195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w:t>
            </w:r>
          </w:p>
        </w:tc>
        <w:tc>
          <w:tcPr>
            <w:tcW w:w="228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当地环卫部门外运处置</w:t>
            </w:r>
          </w:p>
        </w:tc>
        <w:tc>
          <w:tcPr>
            <w:tcW w:w="220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20000　</w:t>
            </w:r>
          </w:p>
        </w:tc>
        <w:tc>
          <w:tcPr>
            <w:tcW w:w="229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当地环卫部门外运处置</w:t>
            </w:r>
          </w:p>
        </w:tc>
        <w:tc>
          <w:tcPr>
            <w:tcW w:w="171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否　</w:t>
            </w:r>
          </w:p>
        </w:tc>
        <w:tc>
          <w:tcPr>
            <w:tcW w:w="1058"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p>
        </w:tc>
      </w:tr>
      <w:tr>
        <w:tblPrEx>
          <w:tblLayout w:type="fixed"/>
          <w:tblCellMar>
            <w:top w:w="0" w:type="dxa"/>
            <w:left w:w="0" w:type="dxa"/>
            <w:bottom w:w="0" w:type="dxa"/>
            <w:right w:w="0" w:type="dxa"/>
          </w:tblCellMar>
        </w:tblPrEx>
        <w:trPr>
          <w:trHeight w:val="555" w:hRule="atLeast"/>
        </w:trPr>
        <w:tc>
          <w:tcPr>
            <w:tcW w:w="4140" w:type="dxa"/>
            <w:vMerge w:val="restart"/>
            <w:tcBorders>
              <w:top w:val="single" w:color="auto" w:sz="8" w:space="0"/>
              <w:left w:val="single" w:color="auto"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厂界位置</w:t>
            </w:r>
          </w:p>
        </w:tc>
        <w:tc>
          <w:tcPr>
            <w:tcW w:w="3615" w:type="dxa"/>
            <w:gridSpan w:val="3"/>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噪声值（</w:t>
            </w:r>
            <w:r>
              <w:rPr>
                <w:rFonts w:hint="default" w:ascii="Calibri" w:hAnsi="Calibri" w:eastAsia="仿宋_GB2312" w:cs="Calibri"/>
                <w:i w:val="0"/>
                <w:color w:val="000000"/>
                <w:kern w:val="0"/>
                <w:sz w:val="24"/>
                <w:szCs w:val="24"/>
                <w:u w:val="none"/>
                <w:lang w:val="en-US" w:eastAsia="zh-CN" w:bidi="ar"/>
              </w:rPr>
              <w:t>dB</w:t>
            </w:r>
            <w:r>
              <w:rPr>
                <w:rFonts w:hint="eastAsia" w:ascii="仿宋_GB2312" w:hAnsi="宋体" w:eastAsia="仿宋_GB2312" w:cs="仿宋_GB2312"/>
                <w:i w:val="0"/>
                <w:color w:val="000000"/>
                <w:kern w:val="0"/>
                <w:sz w:val="24"/>
                <w:szCs w:val="24"/>
                <w:u w:val="none"/>
                <w:lang w:val="en-US" w:eastAsia="zh-CN" w:bidi="ar"/>
              </w:rPr>
              <w:t>）</w:t>
            </w:r>
          </w:p>
        </w:tc>
        <w:tc>
          <w:tcPr>
            <w:tcW w:w="4200" w:type="dxa"/>
            <w:gridSpan w:val="4"/>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执行的厂界噪声排放标准限值（</w:t>
            </w:r>
            <w:r>
              <w:rPr>
                <w:rFonts w:hint="default" w:ascii="Calibri" w:hAnsi="Calibri" w:eastAsia="仿宋_GB2312" w:cs="Calibri"/>
                <w:i w:val="0"/>
                <w:color w:val="000000"/>
                <w:kern w:val="0"/>
                <w:sz w:val="24"/>
                <w:szCs w:val="24"/>
                <w:u w:val="none"/>
                <w:lang w:val="en-US" w:eastAsia="zh-CN" w:bidi="ar"/>
              </w:rPr>
              <w:t>dB</w:t>
            </w:r>
            <w:r>
              <w:rPr>
                <w:rFonts w:hint="eastAsia" w:ascii="仿宋_GB2312" w:hAnsi="宋体" w:eastAsia="仿宋_GB2312" w:cs="仿宋_GB2312"/>
                <w:i w:val="0"/>
                <w:color w:val="000000"/>
                <w:kern w:val="0"/>
                <w:sz w:val="24"/>
                <w:szCs w:val="24"/>
                <w:u w:val="none"/>
                <w:lang w:val="en-US" w:eastAsia="zh-CN" w:bidi="ar"/>
              </w:rPr>
              <w:t>）</w:t>
            </w:r>
          </w:p>
        </w:tc>
        <w:tc>
          <w:tcPr>
            <w:tcW w:w="915" w:type="dxa"/>
            <w:tcBorders>
              <w:top w:val="single" w:color="auto" w:sz="8" w:space="0"/>
              <w:left w:val="nil"/>
              <w:bottom w:val="nil"/>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超标</w:t>
            </w:r>
          </w:p>
        </w:tc>
        <w:tc>
          <w:tcPr>
            <w:tcW w:w="1688" w:type="dxa"/>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是否需要缴纳排污费（税）</w:t>
            </w:r>
          </w:p>
        </w:tc>
        <w:tc>
          <w:tcPr>
            <w:tcW w:w="1080" w:type="dxa"/>
            <w:gridSpan w:val="2"/>
            <w:vMerge w:val="restart"/>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缴纳情况</w:t>
            </w:r>
          </w:p>
        </w:tc>
      </w:tr>
      <w:tr>
        <w:tblPrEx>
          <w:tblLayout w:type="fixed"/>
          <w:tblCellMar>
            <w:top w:w="0" w:type="dxa"/>
            <w:left w:w="0" w:type="dxa"/>
            <w:bottom w:w="0" w:type="dxa"/>
            <w:right w:w="0" w:type="dxa"/>
          </w:tblCellMar>
        </w:tblPrEx>
        <w:trPr>
          <w:trHeight w:val="624" w:hRule="atLeast"/>
        </w:trPr>
        <w:tc>
          <w:tcPr>
            <w:tcW w:w="4140" w:type="dxa"/>
            <w:vMerge w:val="continue"/>
            <w:tcBorders>
              <w:top w:val="single" w:color="auto" w:sz="8" w:space="0"/>
              <w:left w:val="single" w:color="auto"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24"/>
                <w:szCs w:val="24"/>
                <w:u w:val="none"/>
              </w:rPr>
            </w:pPr>
          </w:p>
        </w:tc>
        <w:tc>
          <w:tcPr>
            <w:tcW w:w="2145" w:type="dxa"/>
            <w:gridSpan w:val="2"/>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昼间</w:t>
            </w:r>
          </w:p>
        </w:tc>
        <w:tc>
          <w:tcPr>
            <w:tcW w:w="147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夜间</w:t>
            </w:r>
          </w:p>
        </w:tc>
        <w:tc>
          <w:tcPr>
            <w:tcW w:w="1905" w:type="dxa"/>
            <w:gridSpan w:val="2"/>
            <w:tcBorders>
              <w:top w:val="single" w:color="auto" w:sz="8" w:space="0"/>
              <w:left w:val="nil"/>
              <w:bottom w:val="single" w:color="auto" w:sz="8"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昼间</w:t>
            </w:r>
          </w:p>
        </w:tc>
        <w:tc>
          <w:tcPr>
            <w:tcW w:w="2295" w:type="dxa"/>
            <w:gridSpan w:val="2"/>
            <w:tcBorders>
              <w:top w:val="single" w:color="auto" w:sz="8" w:space="0"/>
              <w:left w:val="single" w:color="auto" w:sz="4"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夜间</w:t>
            </w:r>
          </w:p>
        </w:tc>
        <w:tc>
          <w:tcPr>
            <w:tcW w:w="915"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情况</w:t>
            </w:r>
          </w:p>
        </w:tc>
        <w:tc>
          <w:tcPr>
            <w:tcW w:w="1688" w:type="dxa"/>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24"/>
                <w:szCs w:val="24"/>
                <w:u w:val="none"/>
              </w:rPr>
            </w:pPr>
          </w:p>
        </w:tc>
        <w:tc>
          <w:tcPr>
            <w:tcW w:w="1080" w:type="dxa"/>
            <w:gridSpan w:val="2"/>
            <w:vMerge w:val="continue"/>
            <w:tcBorders>
              <w:top w:val="single" w:color="auto" w:sz="8" w:space="0"/>
              <w:left w:val="single" w:color="auto" w:sz="8" w:space="0"/>
              <w:bottom w:val="single" w:color="000000" w:sz="8" w:space="0"/>
              <w:right w:val="single" w:color="auto" w:sz="8"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24"/>
                <w:szCs w:val="24"/>
                <w:u w:val="none"/>
              </w:rPr>
            </w:pPr>
          </w:p>
        </w:tc>
      </w:tr>
      <w:tr>
        <w:tblPrEx>
          <w:tblLayout w:type="fixed"/>
          <w:tblCellMar>
            <w:top w:w="0" w:type="dxa"/>
            <w:left w:w="0" w:type="dxa"/>
            <w:bottom w:w="0" w:type="dxa"/>
            <w:right w:w="0" w:type="dxa"/>
          </w:tblCellMar>
        </w:tblPrEx>
        <w:trPr>
          <w:trHeight w:val="330" w:hRule="atLeast"/>
        </w:trPr>
        <w:tc>
          <w:tcPr>
            <w:tcW w:w="4140" w:type="dxa"/>
            <w:tcBorders>
              <w:top w:val="single" w:color="auto" w:sz="8" w:space="0"/>
              <w:left w:val="single" w:color="auto" w:sz="8"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东</w:t>
            </w:r>
          </w:p>
        </w:tc>
        <w:tc>
          <w:tcPr>
            <w:tcW w:w="2145" w:type="dxa"/>
            <w:gridSpan w:val="2"/>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56.9</w:t>
            </w:r>
          </w:p>
        </w:tc>
        <w:tc>
          <w:tcPr>
            <w:tcW w:w="147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47</w:t>
            </w:r>
          </w:p>
        </w:tc>
        <w:tc>
          <w:tcPr>
            <w:tcW w:w="1905" w:type="dxa"/>
            <w:gridSpan w:val="2"/>
            <w:tcBorders>
              <w:top w:val="single" w:color="auto" w:sz="8" w:space="0"/>
              <w:left w:val="nil"/>
              <w:bottom w:val="single" w:color="auto" w:sz="8"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65</w:t>
            </w:r>
          </w:p>
        </w:tc>
        <w:tc>
          <w:tcPr>
            <w:tcW w:w="2295" w:type="dxa"/>
            <w:gridSpan w:val="2"/>
            <w:tcBorders>
              <w:top w:val="single" w:color="auto" w:sz="8" w:space="0"/>
              <w:left w:val="single" w:color="auto" w:sz="4"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cs="宋体"/>
                <w:i w:val="0"/>
                <w:color w:val="auto"/>
                <w:kern w:val="0"/>
                <w:sz w:val="24"/>
                <w:szCs w:val="24"/>
                <w:u w:val="none"/>
                <w:lang w:val="en-US" w:eastAsia="zh-CN" w:bidi="ar"/>
              </w:rPr>
              <w:t>55</w:t>
            </w:r>
          </w:p>
        </w:tc>
        <w:tc>
          <w:tcPr>
            <w:tcW w:w="915"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否</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否</w:t>
            </w:r>
            <w:r>
              <w:rPr>
                <w:rFonts w:hint="eastAsia" w:ascii="宋体" w:hAnsi="宋体" w:eastAsia="宋体" w:cs="宋体"/>
                <w:i w:val="0"/>
                <w:color w:val="auto"/>
                <w:kern w:val="0"/>
                <w:sz w:val="24"/>
                <w:szCs w:val="24"/>
                <w:u w:val="none"/>
                <w:lang w:val="en-US" w:eastAsia="zh-CN" w:bidi="ar"/>
              </w:rPr>
              <w:t>　</w:t>
            </w:r>
          </w:p>
        </w:tc>
        <w:tc>
          <w:tcPr>
            <w:tcW w:w="1080" w:type="dxa"/>
            <w:gridSpan w:val="2"/>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w:t>
            </w:r>
          </w:p>
        </w:tc>
      </w:tr>
      <w:tr>
        <w:tblPrEx>
          <w:tblLayout w:type="fixed"/>
          <w:tblCellMar>
            <w:top w:w="0" w:type="dxa"/>
            <w:left w:w="0" w:type="dxa"/>
            <w:bottom w:w="0" w:type="dxa"/>
            <w:right w:w="0" w:type="dxa"/>
          </w:tblCellMar>
        </w:tblPrEx>
        <w:trPr>
          <w:trHeight w:val="330" w:hRule="atLeast"/>
        </w:trPr>
        <w:tc>
          <w:tcPr>
            <w:tcW w:w="4140" w:type="dxa"/>
            <w:tcBorders>
              <w:top w:val="single" w:color="auto" w:sz="8" w:space="0"/>
              <w:left w:val="single" w:color="auto" w:sz="8"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南</w:t>
            </w:r>
          </w:p>
        </w:tc>
        <w:tc>
          <w:tcPr>
            <w:tcW w:w="2145" w:type="dxa"/>
            <w:gridSpan w:val="2"/>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54.9</w:t>
            </w:r>
          </w:p>
        </w:tc>
        <w:tc>
          <w:tcPr>
            <w:tcW w:w="147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905" w:type="dxa"/>
            <w:gridSpan w:val="2"/>
            <w:tcBorders>
              <w:top w:val="single" w:color="auto" w:sz="8" w:space="0"/>
              <w:left w:val="nil"/>
              <w:bottom w:val="single" w:color="auto" w:sz="8"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eastAsia" w:ascii="宋体" w:hAnsi="宋体" w:cs="宋体"/>
                <w:i w:val="0"/>
                <w:color w:val="auto"/>
                <w:kern w:val="0"/>
                <w:sz w:val="24"/>
                <w:szCs w:val="24"/>
                <w:u w:val="none"/>
                <w:lang w:val="en-US" w:eastAsia="zh-CN" w:bidi="ar"/>
              </w:rPr>
              <w:t>65</w:t>
            </w:r>
          </w:p>
        </w:tc>
        <w:tc>
          <w:tcPr>
            <w:tcW w:w="2295" w:type="dxa"/>
            <w:gridSpan w:val="2"/>
            <w:tcBorders>
              <w:top w:val="single" w:color="auto" w:sz="8" w:space="0"/>
              <w:left w:val="single" w:color="auto" w:sz="4"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kern w:val="0"/>
                <w:sz w:val="24"/>
                <w:szCs w:val="24"/>
                <w:u w:val="none"/>
                <w:lang w:val="en-US" w:eastAsia="zh-CN" w:bidi="ar"/>
              </w:rPr>
            </w:pPr>
            <w:r>
              <w:rPr>
                <w:rFonts w:hint="eastAsia" w:ascii="宋体" w:hAnsi="宋体" w:cs="宋体"/>
                <w:i w:val="0"/>
                <w:color w:val="auto"/>
                <w:kern w:val="0"/>
                <w:sz w:val="24"/>
                <w:szCs w:val="24"/>
                <w:u w:val="none"/>
                <w:lang w:val="en-US" w:eastAsia="zh-CN" w:bidi="ar"/>
              </w:rPr>
              <w:t>55</w:t>
            </w:r>
          </w:p>
        </w:tc>
        <w:tc>
          <w:tcPr>
            <w:tcW w:w="915"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否</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否</w:t>
            </w:r>
            <w:r>
              <w:rPr>
                <w:rFonts w:hint="eastAsia" w:ascii="宋体" w:hAnsi="宋体" w:eastAsia="宋体" w:cs="宋体"/>
                <w:i w:val="0"/>
                <w:color w:val="auto"/>
                <w:kern w:val="0"/>
                <w:sz w:val="24"/>
                <w:szCs w:val="24"/>
                <w:u w:val="none"/>
                <w:lang w:val="en-US" w:eastAsia="zh-CN" w:bidi="ar"/>
              </w:rPr>
              <w:t>　</w:t>
            </w:r>
          </w:p>
        </w:tc>
        <w:tc>
          <w:tcPr>
            <w:tcW w:w="1080" w:type="dxa"/>
            <w:gridSpan w:val="2"/>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w:t>
            </w:r>
          </w:p>
        </w:tc>
      </w:tr>
      <w:tr>
        <w:tblPrEx>
          <w:tblLayout w:type="fixed"/>
          <w:tblCellMar>
            <w:top w:w="0" w:type="dxa"/>
            <w:left w:w="0" w:type="dxa"/>
            <w:bottom w:w="0" w:type="dxa"/>
            <w:right w:w="0" w:type="dxa"/>
          </w:tblCellMar>
        </w:tblPrEx>
        <w:trPr>
          <w:trHeight w:val="525" w:hRule="atLeast"/>
        </w:trPr>
        <w:tc>
          <w:tcPr>
            <w:tcW w:w="4140" w:type="dxa"/>
            <w:tcBorders>
              <w:top w:val="single" w:color="auto" w:sz="8" w:space="0"/>
              <w:left w:val="single" w:color="auto" w:sz="8"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西</w:t>
            </w:r>
          </w:p>
        </w:tc>
        <w:tc>
          <w:tcPr>
            <w:tcW w:w="2145" w:type="dxa"/>
            <w:gridSpan w:val="2"/>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52.6</w:t>
            </w:r>
          </w:p>
        </w:tc>
        <w:tc>
          <w:tcPr>
            <w:tcW w:w="147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44.8</w:t>
            </w:r>
          </w:p>
        </w:tc>
        <w:tc>
          <w:tcPr>
            <w:tcW w:w="1905" w:type="dxa"/>
            <w:gridSpan w:val="2"/>
            <w:tcBorders>
              <w:top w:val="single" w:color="auto" w:sz="8" w:space="0"/>
              <w:left w:val="nil"/>
              <w:bottom w:val="single" w:color="auto" w:sz="8"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eastAsia" w:ascii="宋体" w:hAnsi="宋体" w:cs="宋体"/>
                <w:i w:val="0"/>
                <w:color w:val="auto"/>
                <w:kern w:val="0"/>
                <w:sz w:val="24"/>
                <w:szCs w:val="24"/>
                <w:u w:val="none"/>
                <w:lang w:val="en-US" w:eastAsia="zh-CN" w:bidi="ar"/>
              </w:rPr>
              <w:t>65</w:t>
            </w:r>
          </w:p>
        </w:tc>
        <w:tc>
          <w:tcPr>
            <w:tcW w:w="2295" w:type="dxa"/>
            <w:gridSpan w:val="2"/>
            <w:tcBorders>
              <w:top w:val="single" w:color="auto" w:sz="8" w:space="0"/>
              <w:left w:val="single" w:color="auto" w:sz="4"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kern w:val="0"/>
                <w:sz w:val="24"/>
                <w:szCs w:val="24"/>
                <w:u w:val="none"/>
                <w:lang w:val="en-US" w:eastAsia="zh-CN" w:bidi="ar"/>
              </w:rPr>
            </w:pPr>
            <w:r>
              <w:rPr>
                <w:rFonts w:hint="eastAsia" w:ascii="宋体" w:hAnsi="宋体" w:cs="宋体"/>
                <w:i w:val="0"/>
                <w:color w:val="auto"/>
                <w:kern w:val="0"/>
                <w:sz w:val="24"/>
                <w:szCs w:val="24"/>
                <w:u w:val="none"/>
                <w:lang w:val="en-US" w:eastAsia="zh-CN" w:bidi="ar"/>
              </w:rPr>
              <w:t>55</w:t>
            </w:r>
          </w:p>
        </w:tc>
        <w:tc>
          <w:tcPr>
            <w:tcW w:w="915"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否</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否</w:t>
            </w:r>
            <w:r>
              <w:rPr>
                <w:rFonts w:hint="eastAsia" w:ascii="宋体" w:hAnsi="宋体" w:eastAsia="宋体" w:cs="宋体"/>
                <w:i w:val="0"/>
                <w:color w:val="auto"/>
                <w:kern w:val="0"/>
                <w:sz w:val="24"/>
                <w:szCs w:val="24"/>
                <w:u w:val="none"/>
                <w:lang w:val="en-US" w:eastAsia="zh-CN" w:bidi="ar"/>
              </w:rPr>
              <w:t>　</w:t>
            </w:r>
          </w:p>
        </w:tc>
        <w:tc>
          <w:tcPr>
            <w:tcW w:w="1080" w:type="dxa"/>
            <w:gridSpan w:val="2"/>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w:t>
            </w:r>
          </w:p>
        </w:tc>
      </w:tr>
      <w:tr>
        <w:tblPrEx>
          <w:tblLayout w:type="fixed"/>
          <w:tblCellMar>
            <w:top w:w="0" w:type="dxa"/>
            <w:left w:w="0" w:type="dxa"/>
            <w:bottom w:w="0" w:type="dxa"/>
            <w:right w:w="0" w:type="dxa"/>
          </w:tblCellMar>
        </w:tblPrEx>
        <w:trPr>
          <w:trHeight w:val="330" w:hRule="atLeast"/>
        </w:trPr>
        <w:tc>
          <w:tcPr>
            <w:tcW w:w="4140" w:type="dxa"/>
            <w:tcBorders>
              <w:top w:val="single" w:color="auto" w:sz="8" w:space="0"/>
              <w:left w:val="single" w:color="auto" w:sz="8"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北</w:t>
            </w:r>
          </w:p>
        </w:tc>
        <w:tc>
          <w:tcPr>
            <w:tcW w:w="2145" w:type="dxa"/>
            <w:gridSpan w:val="2"/>
            <w:tcBorders>
              <w:top w:val="single" w:color="auto" w:sz="8" w:space="0"/>
              <w:left w:val="nil"/>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52.6</w:t>
            </w:r>
          </w:p>
        </w:tc>
        <w:tc>
          <w:tcPr>
            <w:tcW w:w="147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42.7</w:t>
            </w:r>
          </w:p>
        </w:tc>
        <w:tc>
          <w:tcPr>
            <w:tcW w:w="1905" w:type="dxa"/>
            <w:gridSpan w:val="2"/>
            <w:tcBorders>
              <w:top w:val="single" w:color="auto" w:sz="8" w:space="0"/>
              <w:left w:val="nil"/>
              <w:bottom w:val="single" w:color="auto" w:sz="8"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auto"/>
                <w:sz w:val="21"/>
                <w:szCs w:val="21"/>
                <w:u w:val="none"/>
              </w:rPr>
            </w:pPr>
            <w:r>
              <w:rPr>
                <w:rFonts w:hint="eastAsia" w:ascii="宋体" w:hAnsi="宋体" w:cs="宋体"/>
                <w:i w:val="0"/>
                <w:color w:val="auto"/>
                <w:kern w:val="0"/>
                <w:sz w:val="24"/>
                <w:szCs w:val="24"/>
                <w:u w:val="none"/>
                <w:lang w:val="en-US" w:eastAsia="zh-CN" w:bidi="ar"/>
              </w:rPr>
              <w:t>65</w:t>
            </w:r>
          </w:p>
        </w:tc>
        <w:tc>
          <w:tcPr>
            <w:tcW w:w="2295" w:type="dxa"/>
            <w:gridSpan w:val="2"/>
            <w:tcBorders>
              <w:top w:val="single" w:color="auto" w:sz="8" w:space="0"/>
              <w:left w:val="single" w:color="auto" w:sz="4" w:space="0"/>
              <w:bottom w:val="single" w:color="auto"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auto"/>
                <w:kern w:val="0"/>
                <w:sz w:val="21"/>
                <w:szCs w:val="21"/>
                <w:u w:val="none"/>
                <w:lang w:val="en-US" w:eastAsia="zh-CN" w:bidi="ar"/>
              </w:rPr>
            </w:pPr>
            <w:r>
              <w:rPr>
                <w:rFonts w:hint="eastAsia" w:ascii="宋体" w:hAnsi="宋体" w:cs="宋体"/>
                <w:i w:val="0"/>
                <w:color w:val="auto"/>
                <w:kern w:val="0"/>
                <w:sz w:val="24"/>
                <w:szCs w:val="24"/>
                <w:u w:val="none"/>
                <w:lang w:val="en-US" w:eastAsia="zh-CN" w:bidi="ar"/>
              </w:rPr>
              <w:t>55</w:t>
            </w:r>
          </w:p>
        </w:tc>
        <w:tc>
          <w:tcPr>
            <w:tcW w:w="915"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否</w:t>
            </w:r>
          </w:p>
        </w:tc>
        <w:tc>
          <w:tcPr>
            <w:tcW w:w="1688"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否</w:t>
            </w:r>
          </w:p>
        </w:tc>
        <w:tc>
          <w:tcPr>
            <w:tcW w:w="1080" w:type="dxa"/>
            <w:gridSpan w:val="2"/>
            <w:tcBorders>
              <w:top w:val="nil"/>
              <w:left w:val="nil"/>
              <w:bottom w:val="single" w:color="auto" w:sz="8" w:space="0"/>
              <w:right w:val="single" w:color="auto"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w:t>
            </w:r>
          </w:p>
        </w:tc>
      </w:tr>
    </w:tbl>
    <w:p>
      <w:pPr>
        <w:numPr>
          <w:ilvl w:val="0"/>
          <w:numId w:val="1"/>
        </w:numPr>
        <w:spacing w:line="560" w:lineRule="exact"/>
        <w:jc w:val="left"/>
        <w:rPr>
          <w:rFonts w:hint="eastAsia" w:eastAsia="黑体"/>
          <w:sz w:val="32"/>
          <w:szCs w:val="32"/>
          <w:lang w:eastAsia="zh-CN"/>
        </w:rPr>
      </w:pPr>
      <w:r>
        <w:rPr>
          <w:rFonts w:hint="eastAsia" w:eastAsia="黑体"/>
          <w:sz w:val="32"/>
          <w:szCs w:val="32"/>
          <w:lang w:eastAsia="zh-CN"/>
        </w:rPr>
        <w:t>依法落实环境风险防控措施情况</w:t>
      </w:r>
    </w:p>
    <w:tbl>
      <w:tblPr>
        <w:tblStyle w:val="12"/>
        <w:tblW w:w="14655" w:type="dxa"/>
        <w:tblInd w:w="-8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72"/>
        <w:gridCol w:w="2618"/>
        <w:gridCol w:w="1267"/>
        <w:gridCol w:w="1980"/>
        <w:gridCol w:w="1500"/>
        <w:gridCol w:w="1620"/>
        <w:gridCol w:w="1245"/>
        <w:gridCol w:w="33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lang w:eastAsia="zh-CN"/>
              </w:rPr>
            </w:pPr>
            <w:r>
              <w:rPr>
                <w:rFonts w:hint="eastAsia" w:ascii="仿宋_GB2312" w:hAnsi="宋体" w:eastAsia="仿宋_GB2312" w:cs="仿宋_GB2312"/>
                <w:i w:val="0"/>
                <w:color w:val="000000"/>
                <w:sz w:val="24"/>
                <w:szCs w:val="24"/>
                <w:u w:val="none"/>
                <w:lang w:eastAsia="zh-CN"/>
              </w:rPr>
              <w:t>风险类别</w:t>
            </w: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lang w:val="en-US" w:eastAsia="zh-CN"/>
              </w:rPr>
            </w:pPr>
            <w:r>
              <w:rPr>
                <w:rFonts w:hint="eastAsia" w:ascii="仿宋_GB2312" w:hAnsi="宋体" w:eastAsia="仿宋_GB2312" w:cs="仿宋_GB2312"/>
                <w:i w:val="0"/>
                <w:color w:val="000000"/>
                <w:sz w:val="24"/>
                <w:szCs w:val="24"/>
                <w:u w:val="none"/>
                <w:lang w:eastAsia="zh-CN"/>
              </w:rPr>
              <w:t>风险防控措施或污染防治设施</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投运时间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处理能力</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运行情况</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运维单位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水污染物</w:t>
            </w: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污水处理站</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2018年1月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600m</w:t>
            </w:r>
            <w:r>
              <w:rPr>
                <w:rStyle w:val="34"/>
                <w:rFonts w:hAnsi="宋体"/>
                <w:lang w:val="en-US" w:eastAsia="zh-CN" w:bidi="ar"/>
              </w:rPr>
              <w:t>3</w:t>
            </w:r>
            <w:r>
              <w:rPr>
                <w:rStyle w:val="35"/>
                <w:rFonts w:hAnsi="宋体"/>
                <w:lang w:val="en-US" w:eastAsia="zh-CN" w:bidi="ar"/>
              </w:rPr>
              <w:t>/d</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安徽省科林环境技术有限公司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val="en-US" w:eastAsia="zh-CN"/>
              </w:rPr>
              <w:t>大气污染物</w:t>
            </w: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旋风分离器1+脉冲袋式除尘器（1）+15m排气筒1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38000m³/h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lang w:eastAsia="zh-CN"/>
              </w:rPr>
            </w:pPr>
            <w:r>
              <w:rPr>
                <w:rFonts w:hint="eastAsia" w:ascii="仿宋_GB2312" w:hAnsi="宋体" w:eastAsia="仿宋_GB2312" w:cs="仿宋_GB2312"/>
                <w:i w:val="0"/>
                <w:color w:val="000000"/>
                <w:sz w:val="24"/>
                <w:szCs w:val="24"/>
                <w:u w:val="none"/>
                <w:lang w:eastAsia="zh-CN"/>
              </w:rPr>
              <w:t>唐县汇银木业有限公司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3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旋风分离器2+脉冲袋式除尘器（2）</w:t>
            </w:r>
          </w:p>
        </w:tc>
        <w:tc>
          <w:tcPr>
            <w:tcW w:w="1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+15m排气筒2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96000m³/h</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lang w:eastAsia="zh-CN"/>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7"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3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旋风分离器3+脉冲袋式除尘器（2）</w:t>
            </w: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33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72"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3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旋风分离器4+脉冲袋式除尘器（2）</w:t>
            </w:r>
          </w:p>
        </w:tc>
        <w:tc>
          <w:tcPr>
            <w:tcW w:w="1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33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脉冲袋式除尘器（3）+15m排气筒3</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70000m³/h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lang w:eastAsia="zh-CN"/>
              </w:rPr>
            </w:pPr>
            <w:r>
              <w:rPr>
                <w:rFonts w:hint="eastAsia" w:ascii="仿宋_GB2312" w:hAnsi="宋体" w:eastAsia="仿宋_GB2312" w:cs="仿宋_GB2312"/>
                <w:i w:val="0"/>
                <w:color w:val="000000"/>
                <w:sz w:val="24"/>
                <w:szCs w:val="24"/>
                <w:u w:val="none"/>
                <w:lang w:eastAsia="zh-CN"/>
              </w:rPr>
              <w:t>唐县汇银木业有限公司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脉冲袋式除尘器（4）+15m排气筒4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70000m³/h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脉冲袋式除尘器（5）+15m排气筒5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65000m³/h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旋风分离器6+活性炭吸附+15m排气筒6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26000m³/h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6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旋风分离器7+活性炭吸附+15m排气筒7</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38500m³/h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6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高效旋风分离器8+45m烟囱8</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158000m³/h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旋风分离器9+15m排气筒9</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10100m³/h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旋风脉冲布袋除尘A+15m排气筒10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7"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旋风脉冲布袋除尘B+15m排气筒11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旋风脉冲布袋除尘C+15m排气筒11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7500m³/h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固体废物</w:t>
            </w:r>
          </w:p>
        </w:tc>
        <w:tc>
          <w:tcPr>
            <w:tcW w:w="261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粉尘料仓</w:t>
            </w:r>
          </w:p>
        </w:tc>
        <w:tc>
          <w:tcPr>
            <w:tcW w:w="32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全部进热能中心燃烧</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9005000kg</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9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32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50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7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32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8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综合料仓</w:t>
            </w:r>
          </w:p>
        </w:tc>
        <w:tc>
          <w:tcPr>
            <w:tcW w:w="32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全部做原料再用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6019570kg</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热能中心燃烧灰渣    暂存点</w:t>
            </w:r>
          </w:p>
        </w:tc>
        <w:tc>
          <w:tcPr>
            <w:tcW w:w="32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外售做农田肥料</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29700kg</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定期外售</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原料包装物暂存点</w:t>
            </w:r>
          </w:p>
        </w:tc>
        <w:tc>
          <w:tcPr>
            <w:tcW w:w="32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外售再利用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270kg</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定期外售</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30"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危废暂存库</w:t>
            </w:r>
          </w:p>
        </w:tc>
        <w:tc>
          <w:tcPr>
            <w:tcW w:w="32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衡水睿韬环保技术有限公司</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both"/>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3000kg</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衡水睿韬环保技术有限公司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2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生活垃圾暂存点</w:t>
            </w:r>
          </w:p>
        </w:tc>
        <w:tc>
          <w:tcPr>
            <w:tcW w:w="32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环卫部门外运处置</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20000kg</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定期外运</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5" w:hRule="atLeast"/>
        </w:trPr>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噪声</w:t>
            </w: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厂房隔声、基础减振、固振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25dB(A)</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基础减振、固振、顶部的外沿安装排风消声器、底部接水盘上安装柔性网或消声垫、进风口处安装进风消声器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25dB(A)</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58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厂房隔声、基础减振、固振、进出口软连接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2014年8月</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50dB(A)</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正常</w:t>
            </w:r>
          </w:p>
        </w:tc>
        <w:tc>
          <w:tcPr>
            <w:tcW w:w="33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sz w:val="24"/>
                <w:szCs w:val="24"/>
                <w:u w:val="none"/>
                <w:lang w:eastAsia="zh-CN"/>
              </w:rPr>
              <w:t>唐县汇银木业有限公司</w:t>
            </w:r>
            <w:r>
              <w:rPr>
                <w:rFonts w:hint="eastAsia" w:ascii="仿宋_GB2312" w:hAnsi="宋体" w:eastAsia="仿宋_GB2312" w:cs="仿宋_GB2312"/>
                <w:i w:val="0"/>
                <w:color w:val="000000"/>
                <w:sz w:val="24"/>
                <w:szCs w:val="24"/>
                <w:u w:val="none"/>
                <w:lang w:val="en-US" w:eastAsia="zh-CN"/>
              </w:rPr>
              <w:t xml:space="preserve"> </w:t>
            </w:r>
          </w:p>
        </w:tc>
      </w:tr>
    </w:tbl>
    <w:p>
      <w:pPr>
        <w:numPr>
          <w:ilvl w:val="0"/>
          <w:numId w:val="0"/>
        </w:numPr>
        <w:spacing w:line="560" w:lineRule="exact"/>
        <w:jc w:val="left"/>
        <w:rPr>
          <w:rFonts w:hint="eastAsia" w:eastAsia="黑体"/>
          <w:sz w:val="32"/>
          <w:szCs w:val="32"/>
        </w:rPr>
      </w:pPr>
    </w:p>
    <w:p>
      <w:pPr>
        <w:spacing w:line="560" w:lineRule="exact"/>
        <w:rPr>
          <w:rFonts w:hint="eastAsia" w:eastAsia="黑体"/>
          <w:sz w:val="32"/>
          <w:szCs w:val="32"/>
        </w:rPr>
      </w:pPr>
    </w:p>
    <w:p>
      <w:pPr>
        <w:spacing w:line="560" w:lineRule="exact"/>
        <w:rPr>
          <w:rFonts w:hint="eastAsia" w:eastAsia="黑体"/>
          <w:sz w:val="32"/>
          <w:szCs w:val="32"/>
          <w:lang w:eastAsia="zh-CN"/>
        </w:rPr>
      </w:pPr>
      <w:r>
        <w:rPr>
          <w:rFonts w:hint="eastAsia" w:eastAsia="黑体"/>
          <w:sz w:val="32"/>
          <w:szCs w:val="32"/>
        </w:rPr>
        <w:t>六、环境监测</w:t>
      </w:r>
      <w:r>
        <w:rPr>
          <w:rFonts w:hint="eastAsia" w:eastAsia="黑体"/>
          <w:sz w:val="32"/>
          <w:szCs w:val="32"/>
          <w:lang w:eastAsia="zh-CN"/>
        </w:rPr>
        <w:t>报告（定期监测）</w:t>
      </w:r>
    </w:p>
    <w:tbl>
      <w:tblPr>
        <w:tblStyle w:val="12"/>
        <w:tblW w:w="13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eastAsia="仿宋_GB2312"/>
                <w:b/>
                <w:sz w:val="28"/>
                <w:szCs w:val="28"/>
              </w:rPr>
            </w:pPr>
          </w:p>
        </w:tc>
        <w:tc>
          <w:tcPr>
            <w:tcW w:w="12374" w:type="dxa"/>
            <w:tcBorders>
              <w:top w:val="single" w:color="auto" w:sz="4" w:space="0"/>
              <w:left w:val="single" w:color="auto" w:sz="4" w:space="0"/>
              <w:bottom w:val="single" w:color="auto" w:sz="4" w:space="0"/>
              <w:right w:val="single" w:color="auto" w:sz="4" w:space="0"/>
            </w:tcBorders>
            <w:vAlign w:val="center"/>
          </w:tcPr>
          <w:p>
            <w:pPr>
              <w:rPr>
                <w:lang w:val="zh-CN"/>
              </w:rPr>
            </w:pPr>
          </w:p>
          <w:p>
            <w:pPr>
              <w:pStyle w:val="3"/>
              <w:spacing w:line="240" w:lineRule="auto"/>
              <w:ind w:firstLine="602" w:firstLineChars="200"/>
              <w:rPr>
                <w:rFonts w:ascii="仿宋_GB2312" w:eastAsia="仿宋_GB2312"/>
                <w:szCs w:val="28"/>
              </w:rPr>
            </w:pPr>
            <w:r>
              <w:rPr>
                <w:rFonts w:ascii="仿宋_GB2312" w:hAnsi="仿宋_GB2312" w:eastAsia="仿宋_GB2312" w:cs="仿宋_GB2312"/>
                <w:sz w:val="30"/>
                <w:szCs w:val="30"/>
                <w:lang w:val="zh-CN"/>
              </w:rPr>
              <w:drawing>
                <wp:inline distT="0" distB="0" distL="114300" distR="114300">
                  <wp:extent cx="6628765" cy="4686935"/>
                  <wp:effectExtent l="0" t="0" r="635" b="18415"/>
                  <wp:docPr id="51" name="图片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
                          <pic:cNvPicPr>
                            <a:picLocks noChangeAspect="1"/>
                          </pic:cNvPicPr>
                        </pic:nvPicPr>
                        <pic:blipFill>
                          <a:blip r:embed="rId5"/>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50"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
                          <pic:cNvPicPr>
                            <a:picLocks noChangeAspect="1"/>
                          </pic:cNvPicPr>
                        </pic:nvPicPr>
                        <pic:blipFill>
                          <a:blip r:embed="rId6"/>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9" name="图片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
                          <pic:cNvPicPr>
                            <a:picLocks noChangeAspect="1"/>
                          </pic:cNvPicPr>
                        </pic:nvPicPr>
                        <pic:blipFill>
                          <a:blip r:embed="rId7"/>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8" name="图片 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
                          <pic:cNvPicPr>
                            <a:picLocks noChangeAspect="1"/>
                          </pic:cNvPicPr>
                        </pic:nvPicPr>
                        <pic:blipFill>
                          <a:blip r:embed="rId8"/>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7" name="图片 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
                          <pic:cNvPicPr>
                            <a:picLocks noChangeAspect="1"/>
                          </pic:cNvPicPr>
                        </pic:nvPicPr>
                        <pic:blipFill>
                          <a:blip r:embed="rId9"/>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6" name="图片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
                          <pic:cNvPicPr>
                            <a:picLocks noChangeAspect="1"/>
                          </pic:cNvPicPr>
                        </pic:nvPicPr>
                        <pic:blipFill>
                          <a:blip r:embed="rId10"/>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5" name="图片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
                          <pic:cNvPicPr>
                            <a:picLocks noChangeAspect="1"/>
                          </pic:cNvPicPr>
                        </pic:nvPicPr>
                        <pic:blipFill>
                          <a:blip r:embed="rId11"/>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4" name="图片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
                          <pic:cNvPicPr>
                            <a:picLocks noChangeAspect="1"/>
                          </pic:cNvPicPr>
                        </pic:nvPicPr>
                        <pic:blipFill>
                          <a:blip r:embed="rId12"/>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3" name="图片 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
                          <pic:cNvPicPr>
                            <a:picLocks noChangeAspect="1"/>
                          </pic:cNvPicPr>
                        </pic:nvPicPr>
                        <pic:blipFill>
                          <a:blip r:embed="rId13"/>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2" name="图片 4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0"/>
                          <pic:cNvPicPr>
                            <a:picLocks noChangeAspect="1"/>
                          </pic:cNvPicPr>
                        </pic:nvPicPr>
                        <pic:blipFill>
                          <a:blip r:embed="rId14"/>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1" name="图片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1"/>
                          <pic:cNvPicPr>
                            <a:picLocks noChangeAspect="1"/>
                          </pic:cNvPicPr>
                        </pic:nvPicPr>
                        <pic:blipFill>
                          <a:blip r:embed="rId15"/>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40" name="图片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2"/>
                          <pic:cNvPicPr>
                            <a:picLocks noChangeAspect="1"/>
                          </pic:cNvPicPr>
                        </pic:nvPicPr>
                        <pic:blipFill>
                          <a:blip r:embed="rId16"/>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9" name="图片 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3"/>
                          <pic:cNvPicPr>
                            <a:picLocks noChangeAspect="1"/>
                          </pic:cNvPicPr>
                        </pic:nvPicPr>
                        <pic:blipFill>
                          <a:blip r:embed="rId17"/>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8" name="图片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
                          <pic:cNvPicPr>
                            <a:picLocks noChangeAspect="1"/>
                          </pic:cNvPicPr>
                        </pic:nvPicPr>
                        <pic:blipFill>
                          <a:blip r:embed="rId18"/>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7" name="图片 3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
                          <pic:cNvPicPr>
                            <a:picLocks noChangeAspect="1"/>
                          </pic:cNvPicPr>
                        </pic:nvPicPr>
                        <pic:blipFill>
                          <a:blip r:embed="rId19"/>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6" name="图片 3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
                          <pic:cNvPicPr>
                            <a:picLocks noChangeAspect="1"/>
                          </pic:cNvPicPr>
                        </pic:nvPicPr>
                        <pic:blipFill>
                          <a:blip r:embed="rId20"/>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5" name="图片 3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
                          <pic:cNvPicPr>
                            <a:picLocks noChangeAspect="1"/>
                          </pic:cNvPicPr>
                        </pic:nvPicPr>
                        <pic:blipFill>
                          <a:blip r:embed="rId21"/>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4" name="图片 3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8"/>
                          <pic:cNvPicPr>
                            <a:picLocks noChangeAspect="1"/>
                          </pic:cNvPicPr>
                        </pic:nvPicPr>
                        <pic:blipFill>
                          <a:blip r:embed="rId22"/>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3" name="图片 3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9"/>
                          <pic:cNvPicPr>
                            <a:picLocks noChangeAspect="1"/>
                          </pic:cNvPicPr>
                        </pic:nvPicPr>
                        <pic:blipFill>
                          <a:blip r:embed="rId23"/>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2" name="图片 3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
                          <pic:cNvPicPr>
                            <a:picLocks noChangeAspect="1"/>
                          </pic:cNvPicPr>
                        </pic:nvPicPr>
                        <pic:blipFill>
                          <a:blip r:embed="rId24"/>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1" name="图片 3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1"/>
                          <pic:cNvPicPr>
                            <a:picLocks noChangeAspect="1"/>
                          </pic:cNvPicPr>
                        </pic:nvPicPr>
                        <pic:blipFill>
                          <a:blip r:embed="rId25"/>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30" name="图片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
                          <pic:cNvPicPr>
                            <a:picLocks noChangeAspect="1"/>
                          </pic:cNvPicPr>
                        </pic:nvPicPr>
                        <pic:blipFill>
                          <a:blip r:embed="rId26"/>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29" name="图片 2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3"/>
                          <pic:cNvPicPr>
                            <a:picLocks noChangeAspect="1"/>
                          </pic:cNvPicPr>
                        </pic:nvPicPr>
                        <pic:blipFill>
                          <a:blip r:embed="rId27"/>
                          <a:stretch>
                            <a:fillRect/>
                          </a:stretch>
                        </pic:blipFill>
                        <pic:spPr>
                          <a:xfrm>
                            <a:off x="0" y="0"/>
                            <a:ext cx="6628765" cy="4686935"/>
                          </a:xfrm>
                          <a:prstGeom prst="rect">
                            <a:avLst/>
                          </a:prstGeom>
                        </pic:spPr>
                      </pic:pic>
                    </a:graphicData>
                  </a:graphic>
                </wp:inline>
              </w:drawing>
            </w:r>
            <w:r>
              <w:rPr>
                <w:rFonts w:ascii="仿宋_GB2312" w:hAnsi="仿宋_GB2312" w:eastAsia="仿宋_GB2312" w:cs="仿宋_GB2312"/>
                <w:sz w:val="30"/>
                <w:szCs w:val="30"/>
                <w:lang w:val="zh-CN"/>
              </w:rPr>
              <w:drawing>
                <wp:inline distT="0" distB="0" distL="114300" distR="114300">
                  <wp:extent cx="6628765" cy="4686935"/>
                  <wp:effectExtent l="0" t="0" r="635" b="18415"/>
                  <wp:docPr id="28" name="图片 2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4"/>
                          <pic:cNvPicPr>
                            <a:picLocks noChangeAspect="1"/>
                          </pic:cNvPicPr>
                        </pic:nvPicPr>
                        <pic:blipFill>
                          <a:blip r:embed="rId28"/>
                          <a:stretch>
                            <a:fillRect/>
                          </a:stretch>
                        </pic:blipFill>
                        <pic:spPr>
                          <a:xfrm>
                            <a:off x="0" y="0"/>
                            <a:ext cx="6628765" cy="4686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0"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eastAsia="仿宋_GB2312"/>
                <w:b/>
                <w:sz w:val="28"/>
                <w:szCs w:val="28"/>
              </w:rPr>
            </w:pPr>
          </w:p>
        </w:tc>
        <w:tc>
          <w:tcPr>
            <w:tcW w:w="12374" w:type="dxa"/>
            <w:tcBorders>
              <w:top w:val="single" w:color="auto" w:sz="4" w:space="0"/>
              <w:left w:val="single" w:color="auto" w:sz="4" w:space="0"/>
              <w:bottom w:val="single" w:color="auto" w:sz="4" w:space="0"/>
              <w:right w:val="single" w:color="auto" w:sz="4" w:space="0"/>
            </w:tcBorders>
            <w:vAlign w:val="center"/>
          </w:tcPr>
          <w:p>
            <w:pPr>
              <w:pStyle w:val="3"/>
              <w:spacing w:line="520" w:lineRule="exact"/>
              <w:ind w:left="105" w:leftChars="50" w:firstLine="452" w:firstLineChars="150"/>
              <w:rPr>
                <w:rFonts w:ascii="黑体" w:hAnsi="楷体_GB2312" w:eastAsia="黑体" w:cs="楷体_GB2312"/>
                <w:bCs/>
                <w:sz w:val="30"/>
                <w:szCs w:val="30"/>
              </w:rPr>
            </w:pPr>
            <w:r>
              <w:rPr>
                <w:rFonts w:hint="eastAsia" w:ascii="黑体" w:hAnsi="楷体_GB2312" w:eastAsia="黑体" w:cs="楷体_GB2312"/>
                <w:bCs/>
                <w:sz w:val="30"/>
                <w:szCs w:val="30"/>
                <w:lang w:eastAsia="zh-CN"/>
              </w:rPr>
              <w:t>二、</w:t>
            </w:r>
            <w:r>
              <w:rPr>
                <w:rFonts w:hint="eastAsia" w:ascii="黑体" w:hAnsi="楷体_GB2312" w:eastAsia="黑体" w:cs="楷体_GB2312"/>
                <w:bCs/>
                <w:sz w:val="30"/>
                <w:szCs w:val="30"/>
              </w:rPr>
              <w:t>公开时限</w:t>
            </w:r>
          </w:p>
          <w:p>
            <w:pPr>
              <w:spacing w:line="52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1、基础信息随监测数据一并公布，基础信息、自行监测方案如有调整变化时，应于变更后的五日内公布最新内容；</w:t>
            </w:r>
          </w:p>
          <w:p>
            <w:pPr>
              <w:spacing w:line="52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rPr>
              <w:t>、每年</w:t>
            </w:r>
            <w:r>
              <w:rPr>
                <w:rFonts w:hint="eastAsia" w:ascii="仿宋_GB2312" w:hAnsi="仿宋_GB2312" w:eastAsia="仿宋_GB2312" w:cs="仿宋_GB2312"/>
                <w:sz w:val="30"/>
                <w:szCs w:val="30"/>
                <w:lang w:eastAsia="zh-CN"/>
              </w:rPr>
              <w:t>六</w:t>
            </w:r>
            <w:r>
              <w:rPr>
                <w:rFonts w:hint="eastAsia" w:ascii="仿宋_GB2312" w:hAnsi="仿宋_GB2312" w:eastAsia="仿宋_GB2312" w:cs="仿宋_GB2312"/>
                <w:sz w:val="30"/>
                <w:szCs w:val="30"/>
              </w:rPr>
              <w:t>月底前公布上年度自行监测年度报告。</w:t>
            </w:r>
          </w:p>
          <w:p>
            <w:pPr>
              <w:spacing w:line="520" w:lineRule="exact"/>
              <w:rPr>
                <w:rFonts w:ascii="仿宋_GB2312" w:hAnsi="仿宋_GB2312" w:eastAsia="仿宋_GB2312" w:cs="仿宋_GB2312"/>
                <w:sz w:val="30"/>
                <w:szCs w:val="30"/>
              </w:rPr>
            </w:pPr>
          </w:p>
        </w:tc>
      </w:tr>
    </w:tbl>
    <w:p>
      <w:pPr>
        <w:spacing w:line="560" w:lineRule="exact"/>
      </w:pPr>
      <w:r>
        <w:rPr>
          <w:rFonts w:hint="eastAsia" w:eastAsia="黑体"/>
          <w:sz w:val="32"/>
          <w:szCs w:val="32"/>
        </w:rPr>
        <w:t>七、对职工进行的环境保护培训状况</w:t>
      </w:r>
    </w:p>
    <w:p>
      <w:pPr>
        <w:widowControl/>
        <w:jc w:val="left"/>
      </w:pPr>
    </w:p>
    <w:tbl>
      <w:tblPr>
        <w:tblStyle w:val="12"/>
        <w:tblW w:w="13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0"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eastAsia="仿宋_GB2312"/>
                <w:b/>
                <w:sz w:val="28"/>
                <w:szCs w:val="28"/>
              </w:rPr>
            </w:pPr>
            <w:r>
              <w:rPr>
                <w:rFonts w:hint="eastAsia" w:eastAsia="仿宋_GB2312"/>
                <w:b/>
                <w:sz w:val="28"/>
                <w:szCs w:val="28"/>
              </w:rPr>
              <w:t>对职工进行的环境保护培训状况</w:t>
            </w:r>
          </w:p>
        </w:tc>
        <w:tc>
          <w:tcPr>
            <w:tcW w:w="1066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rPr>
                <w:rFonts w:hint="eastAsia" w:ascii="仿宋_GB2312" w:hAnsi="仿宋_GB2312" w:eastAsia="仿宋_GB2312" w:cs="仿宋_GB2312"/>
                <w:sz w:val="30"/>
                <w:szCs w:val="30"/>
                <w:lang w:val="en-US" w:eastAsia="zh-CN"/>
              </w:rPr>
            </w:pPr>
            <w:r>
              <w:rPr>
                <w:rFonts w:hint="eastAsia" w:eastAsia="仿宋_GB2312"/>
                <w:sz w:val="28"/>
                <w:szCs w:val="28"/>
                <w:lang w:val="en-US" w:eastAsia="zh-CN"/>
              </w:rPr>
              <w:t>2</w:t>
            </w:r>
            <w:r>
              <w:rPr>
                <w:rFonts w:hint="eastAsia" w:ascii="仿宋_GB2312" w:hAnsi="仿宋_GB2312" w:eastAsia="仿宋_GB2312" w:cs="仿宋_GB2312"/>
                <w:sz w:val="30"/>
                <w:szCs w:val="30"/>
                <w:lang w:val="en-US" w:eastAsia="zh-CN"/>
              </w:rPr>
              <w:t>018年2月对全体员工进行环境法律法规、《突发环境事件应急预案》教育培训，并进行了危险废物泄漏应急演练。</w:t>
            </w:r>
          </w:p>
          <w:p>
            <w:pPr>
              <w:spacing w:line="520" w:lineRule="exact"/>
              <w:ind w:firstLine="600" w:firstLineChars="200"/>
              <w:rPr>
                <w:rFonts w:hint="eastAsia" w:ascii="仿宋_GB2312" w:hAnsi="仿宋_GB2312" w:eastAsia="仿宋_GB2312" w:cs="仿宋_GB2312"/>
                <w:sz w:val="30"/>
                <w:szCs w:val="30"/>
                <w:lang w:val="en-US" w:eastAsia="zh-CN"/>
              </w:rPr>
            </w:pPr>
          </w:p>
          <w:p>
            <w:pPr>
              <w:spacing w:line="240" w:lineRule="auto"/>
              <w:jc w:val="center"/>
              <w:rPr>
                <w:rFonts w:hint="eastAsia" w:eastAsia="仿宋_GB2312"/>
                <w:sz w:val="28"/>
                <w:szCs w:val="28"/>
                <w:lang w:val="en-US" w:eastAsia="zh-CN"/>
              </w:rPr>
            </w:pPr>
            <w:r>
              <w:rPr>
                <w:rFonts w:hint="eastAsia" w:eastAsia="仿宋_GB2312"/>
                <w:sz w:val="28"/>
                <w:szCs w:val="28"/>
                <w:lang w:val="en-US" w:eastAsia="zh-CN"/>
              </w:rPr>
              <w:drawing>
                <wp:inline distT="0" distB="0" distL="114300" distR="114300">
                  <wp:extent cx="6631940" cy="4973955"/>
                  <wp:effectExtent l="0" t="0" r="16510" b="17145"/>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29"/>
                          <a:stretch>
                            <a:fillRect/>
                          </a:stretch>
                        </pic:blipFill>
                        <pic:spPr>
                          <a:xfrm>
                            <a:off x="0" y="0"/>
                            <a:ext cx="6631940" cy="4973955"/>
                          </a:xfrm>
                          <a:prstGeom prst="rect">
                            <a:avLst/>
                          </a:prstGeom>
                        </pic:spPr>
                      </pic:pic>
                    </a:graphicData>
                  </a:graphic>
                </wp:inline>
              </w:drawing>
            </w:r>
            <w:r>
              <w:rPr>
                <w:rFonts w:hint="eastAsia" w:eastAsia="仿宋_GB2312"/>
                <w:sz w:val="28"/>
                <w:szCs w:val="28"/>
                <w:lang w:val="en-US" w:eastAsia="zh-CN"/>
              </w:rPr>
              <w:drawing>
                <wp:inline distT="0" distB="0" distL="114300" distR="114300">
                  <wp:extent cx="3932555" cy="5243195"/>
                  <wp:effectExtent l="0" t="0" r="10795" b="14605"/>
                  <wp:docPr id="52" name="图片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
                          <pic:cNvPicPr>
                            <a:picLocks noChangeAspect="1"/>
                          </pic:cNvPicPr>
                        </pic:nvPicPr>
                        <pic:blipFill>
                          <a:blip r:embed="rId30"/>
                          <a:stretch>
                            <a:fillRect/>
                          </a:stretch>
                        </pic:blipFill>
                        <pic:spPr>
                          <a:xfrm>
                            <a:off x="0" y="0"/>
                            <a:ext cx="3932555" cy="5243195"/>
                          </a:xfrm>
                          <a:prstGeom prst="rect">
                            <a:avLst/>
                          </a:prstGeom>
                        </pic:spPr>
                      </pic:pic>
                    </a:graphicData>
                  </a:graphic>
                </wp:inline>
              </w:drawing>
            </w:r>
          </w:p>
          <w:p>
            <w:pPr>
              <w:spacing w:line="240" w:lineRule="auto"/>
              <w:jc w:val="center"/>
              <w:rPr>
                <w:rFonts w:hint="eastAsia" w:eastAsia="仿宋_GB2312"/>
                <w:sz w:val="28"/>
                <w:szCs w:val="28"/>
                <w:lang w:val="en-US" w:eastAsia="zh-CN"/>
              </w:rPr>
            </w:pPr>
            <w:r>
              <w:rPr>
                <w:rFonts w:hint="eastAsia" w:eastAsia="仿宋_GB2312"/>
                <w:sz w:val="28"/>
                <w:szCs w:val="28"/>
                <w:lang w:val="en-US" w:eastAsia="zh-CN"/>
              </w:rPr>
              <w:drawing>
                <wp:inline distT="0" distB="0" distL="114300" distR="114300">
                  <wp:extent cx="6631940" cy="4973955"/>
                  <wp:effectExtent l="0" t="0" r="16510" b="17145"/>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
                          <pic:cNvPicPr>
                            <a:picLocks noChangeAspect="1"/>
                          </pic:cNvPicPr>
                        </pic:nvPicPr>
                        <pic:blipFill>
                          <a:blip r:embed="rId31"/>
                          <a:stretch>
                            <a:fillRect/>
                          </a:stretch>
                        </pic:blipFill>
                        <pic:spPr>
                          <a:xfrm>
                            <a:off x="0" y="0"/>
                            <a:ext cx="6631940" cy="4973955"/>
                          </a:xfrm>
                          <a:prstGeom prst="rect">
                            <a:avLst/>
                          </a:prstGeom>
                        </pic:spPr>
                      </pic:pic>
                    </a:graphicData>
                  </a:graphic>
                </wp:inline>
              </w:drawing>
            </w:r>
          </w:p>
        </w:tc>
      </w:tr>
    </w:tbl>
    <w:p>
      <w:pPr>
        <w:spacing w:line="560" w:lineRule="exact"/>
        <w:rPr>
          <w:rFonts w:hint="eastAsia" w:eastAsia="黑体"/>
          <w:sz w:val="32"/>
          <w:szCs w:val="32"/>
        </w:rPr>
      </w:pPr>
    </w:p>
    <w:p>
      <w:pPr>
        <w:spacing w:line="560" w:lineRule="exact"/>
      </w:pPr>
      <w:r>
        <w:rPr>
          <w:rFonts w:hint="eastAsia" w:eastAsia="黑体"/>
          <w:sz w:val="32"/>
          <w:szCs w:val="32"/>
        </w:rPr>
        <w:t>八、其他应当公开的环境信息</w:t>
      </w:r>
    </w:p>
    <w:p>
      <w:pPr>
        <w:widowControl/>
        <w:jc w:val="left"/>
      </w:pPr>
    </w:p>
    <w:tbl>
      <w:tblPr>
        <w:tblStyle w:val="12"/>
        <w:tblW w:w="13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0"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eastAsia="仿宋_GB2312"/>
                <w:b/>
                <w:sz w:val="28"/>
                <w:szCs w:val="28"/>
              </w:rPr>
            </w:pPr>
            <w:r>
              <w:rPr>
                <w:rFonts w:hint="eastAsia" w:eastAsia="仿宋_GB2312"/>
                <w:b/>
                <w:sz w:val="28"/>
                <w:szCs w:val="28"/>
              </w:rPr>
              <w:t>其他应当公开的环境信息</w:t>
            </w:r>
          </w:p>
        </w:tc>
        <w:tc>
          <w:tcPr>
            <w:tcW w:w="1066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eastAsia="仿宋_GB2312"/>
                <w:sz w:val="28"/>
                <w:szCs w:val="28"/>
              </w:rPr>
            </w:pPr>
          </w:p>
          <w:p>
            <w:pPr>
              <w:spacing w:line="560" w:lineRule="exact"/>
              <w:jc w:val="center"/>
              <w:rPr>
                <w:rFonts w:eastAsia="仿宋_GB2312"/>
                <w:sz w:val="28"/>
                <w:szCs w:val="28"/>
              </w:rPr>
            </w:pPr>
          </w:p>
          <w:p>
            <w:pPr>
              <w:spacing w:line="560" w:lineRule="exact"/>
              <w:jc w:val="center"/>
              <w:rPr>
                <w:rFonts w:eastAsia="仿宋_GB2312"/>
                <w:sz w:val="28"/>
                <w:szCs w:val="28"/>
              </w:rPr>
            </w:pPr>
          </w:p>
          <w:p>
            <w:pPr>
              <w:spacing w:line="560" w:lineRule="exact"/>
              <w:jc w:val="center"/>
              <w:rPr>
                <w:rFonts w:eastAsia="仿宋_GB2312"/>
                <w:sz w:val="28"/>
                <w:szCs w:val="28"/>
              </w:rPr>
            </w:pPr>
          </w:p>
          <w:p>
            <w:pPr>
              <w:spacing w:line="560" w:lineRule="exact"/>
              <w:jc w:val="center"/>
              <w:rPr>
                <w:rFonts w:eastAsia="仿宋_GB2312"/>
                <w:sz w:val="28"/>
                <w:szCs w:val="28"/>
              </w:rPr>
            </w:pPr>
          </w:p>
        </w:tc>
      </w:tr>
    </w:tbl>
    <w:p>
      <w:pPr>
        <w:widowControl/>
        <w:jc w:val="left"/>
        <w:sectPr>
          <w:pgSz w:w="16838" w:h="11906" w:orient="landscape"/>
          <w:pgMar w:top="1588" w:right="2098" w:bottom="559" w:left="1985" w:header="851" w:footer="992" w:gutter="0"/>
          <w:cols w:space="720" w:num="1"/>
          <w:docGrid w:type="lines" w:linePitch="312" w:charSpace="0"/>
        </w:sectPr>
      </w:pPr>
    </w:p>
    <w:p>
      <w:pPr>
        <w:spacing w:line="560" w:lineRule="exact"/>
        <w:ind w:firstLine="204" w:firstLineChars="64"/>
        <w:jc w:val="left"/>
        <w:rPr>
          <w:rFonts w:eastAsia="仿宋_GB2312"/>
          <w:sz w:val="32"/>
          <w:szCs w:val="32"/>
        </w:rPr>
      </w:pPr>
      <w:r>
        <w:rPr>
          <w:rFonts w:hint="eastAsia" w:eastAsia="仿宋_GB2312"/>
          <w:sz w:val="32"/>
          <w:szCs w:val="32"/>
        </w:rPr>
        <w:t>填表说明：</w:t>
      </w:r>
    </w:p>
    <w:p>
      <w:pPr>
        <w:numPr>
          <w:ilvl w:val="0"/>
          <w:numId w:val="2"/>
        </w:numPr>
        <w:spacing w:line="560" w:lineRule="exact"/>
        <w:jc w:val="left"/>
        <w:rPr>
          <w:rFonts w:eastAsia="仿宋_GB2312"/>
          <w:sz w:val="32"/>
          <w:szCs w:val="32"/>
        </w:rPr>
      </w:pPr>
      <w:r>
        <w:rPr>
          <w:rFonts w:hint="eastAsia" w:eastAsia="仿宋_GB2312"/>
          <w:sz w:val="32"/>
          <w:szCs w:val="32"/>
        </w:rPr>
        <w:t>排放口编号或名称应与排污许可证上载明的一致，排放口位置为排放口所在的经纬度，排放方式为纳管或排环境，排放浓度为最近一次监测数值，监测方式为手工或自动，排放总量为最近一次的年度实际排放总量，核定的排放总量为排污许可证上载明的核定排放总量或环评批复上允许的排放总量。</w:t>
      </w:r>
    </w:p>
    <w:p>
      <w:pPr>
        <w:numPr>
          <w:ilvl w:val="0"/>
          <w:numId w:val="2"/>
        </w:numPr>
        <w:spacing w:line="560" w:lineRule="exact"/>
        <w:jc w:val="left"/>
        <w:rPr>
          <w:rFonts w:eastAsia="仿宋_GB2312"/>
          <w:sz w:val="32"/>
          <w:szCs w:val="32"/>
        </w:rPr>
      </w:pPr>
      <w:r>
        <w:rPr>
          <w:rFonts w:hint="eastAsia" w:eastAsia="仿宋_GB2312"/>
          <w:sz w:val="32"/>
          <w:szCs w:val="32"/>
        </w:rPr>
        <w:t>污染源自动监控系统作为环境保护设施的组成部分，应在防治污染设施的建设和运行情况中予以公开，并在处理能力中填写监测指标。</w:t>
      </w:r>
    </w:p>
    <w:p>
      <w:pPr>
        <w:numPr>
          <w:ilvl w:val="0"/>
          <w:numId w:val="2"/>
        </w:numPr>
        <w:spacing w:line="560" w:lineRule="exact"/>
        <w:jc w:val="left"/>
        <w:rPr>
          <w:rFonts w:eastAsia="仿宋_GB2312"/>
          <w:sz w:val="32"/>
          <w:szCs w:val="32"/>
        </w:rPr>
      </w:pPr>
      <w:r>
        <w:rPr>
          <w:rFonts w:hint="eastAsia" w:eastAsia="仿宋_GB2312"/>
          <w:sz w:val="32"/>
          <w:szCs w:val="32"/>
        </w:rPr>
        <w:t>企业事业单位环境信息涉及国家秘密、商业秘密或者个人隐私的，依法可以不公开，法律、法规另有规定的，从其规定。</w:t>
      </w:r>
    </w:p>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10" w:usb3="00000000" w:csb0="00040000" w:csb1="00000000"/>
  </w:font>
  <w:font w:name="楷体">
    <w:altName w:val="楷体_GB2312"/>
    <w:panose1 w:val="02010609060101010101"/>
    <w:charset w:val="86"/>
    <w:family w:val="roma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0"/>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0124678"/>
    </w:sdtPr>
    <w:sdtContent>
      <w:p>
        <w:pPr>
          <w:pStyle w:val="8"/>
          <w:jc w:val="center"/>
        </w:pPr>
        <w:r>
          <w:fldChar w:fldCharType="begin"/>
        </w:r>
        <w:r>
          <w:instrText xml:space="preserve">PAGE   \* MERGEFORMAT</w:instrText>
        </w:r>
        <w:r>
          <w:fldChar w:fldCharType="separate"/>
        </w:r>
        <w:r>
          <w:t>10</w:t>
        </w:r>
        <w: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7BB5D9"/>
    <w:multiLevelType w:val="singleLevel"/>
    <w:tmpl w:val="D07BB5D9"/>
    <w:lvl w:ilvl="0" w:tentative="0">
      <w:start w:val="3"/>
      <w:numFmt w:val="chineseCounting"/>
      <w:suff w:val="nothing"/>
      <w:lvlText w:val="%1、"/>
      <w:lvlJc w:val="left"/>
      <w:rPr>
        <w:rFonts w:hint="eastAsia"/>
      </w:rPr>
    </w:lvl>
  </w:abstractNum>
  <w:abstractNum w:abstractNumId="1">
    <w:nsid w:val="567CD845"/>
    <w:multiLevelType w:val="multilevel"/>
    <w:tmpl w:val="567CD845"/>
    <w:lvl w:ilvl="0" w:tentative="0">
      <w:start w:val="1"/>
      <w:numFmt w:val="decimal"/>
      <w:lvlText w:val="%1、"/>
      <w:lvlJc w:val="left"/>
      <w:pPr>
        <w:ind w:left="925" w:hanging="720"/>
      </w:pPr>
      <w:rPr>
        <w:rFonts w:cs="Times New Roman"/>
      </w:rPr>
    </w:lvl>
    <w:lvl w:ilvl="1" w:tentative="0">
      <w:start w:val="1"/>
      <w:numFmt w:val="lowerLetter"/>
      <w:lvlText w:val="%2)"/>
      <w:lvlJc w:val="left"/>
      <w:pPr>
        <w:ind w:left="1045" w:hanging="420"/>
      </w:pPr>
      <w:rPr>
        <w:rFonts w:cs="Times New Roman"/>
      </w:rPr>
    </w:lvl>
    <w:lvl w:ilvl="2" w:tentative="0">
      <w:start w:val="1"/>
      <w:numFmt w:val="lowerRoman"/>
      <w:lvlText w:val="%3."/>
      <w:lvlJc w:val="right"/>
      <w:pPr>
        <w:ind w:left="1465" w:hanging="420"/>
      </w:pPr>
      <w:rPr>
        <w:rFonts w:cs="Times New Roman"/>
      </w:rPr>
    </w:lvl>
    <w:lvl w:ilvl="3" w:tentative="0">
      <w:start w:val="1"/>
      <w:numFmt w:val="decimal"/>
      <w:lvlText w:val="%4."/>
      <w:lvlJc w:val="left"/>
      <w:pPr>
        <w:ind w:left="1885" w:hanging="420"/>
      </w:pPr>
      <w:rPr>
        <w:rFonts w:cs="Times New Roman"/>
      </w:rPr>
    </w:lvl>
    <w:lvl w:ilvl="4" w:tentative="0">
      <w:start w:val="1"/>
      <w:numFmt w:val="lowerLetter"/>
      <w:lvlText w:val="%5)"/>
      <w:lvlJc w:val="left"/>
      <w:pPr>
        <w:ind w:left="2305" w:hanging="420"/>
      </w:pPr>
      <w:rPr>
        <w:rFonts w:cs="Times New Roman"/>
      </w:rPr>
    </w:lvl>
    <w:lvl w:ilvl="5" w:tentative="0">
      <w:start w:val="1"/>
      <w:numFmt w:val="lowerRoman"/>
      <w:lvlText w:val="%6."/>
      <w:lvlJc w:val="right"/>
      <w:pPr>
        <w:ind w:left="2725" w:hanging="420"/>
      </w:pPr>
      <w:rPr>
        <w:rFonts w:cs="Times New Roman"/>
      </w:rPr>
    </w:lvl>
    <w:lvl w:ilvl="6" w:tentative="0">
      <w:start w:val="1"/>
      <w:numFmt w:val="decimal"/>
      <w:lvlText w:val="%7."/>
      <w:lvlJc w:val="left"/>
      <w:pPr>
        <w:ind w:left="3145" w:hanging="420"/>
      </w:pPr>
      <w:rPr>
        <w:rFonts w:cs="Times New Roman"/>
      </w:rPr>
    </w:lvl>
    <w:lvl w:ilvl="7" w:tentative="0">
      <w:start w:val="1"/>
      <w:numFmt w:val="lowerLetter"/>
      <w:lvlText w:val="%8)"/>
      <w:lvlJc w:val="left"/>
      <w:pPr>
        <w:ind w:left="3565" w:hanging="420"/>
      </w:pPr>
      <w:rPr>
        <w:rFonts w:cs="Times New Roman"/>
      </w:rPr>
    </w:lvl>
    <w:lvl w:ilvl="8" w:tentative="0">
      <w:start w:val="1"/>
      <w:numFmt w:val="lowerRoman"/>
      <w:lvlText w:val="%9."/>
      <w:lvlJc w:val="right"/>
      <w:pPr>
        <w:ind w:left="3985" w:hanging="420"/>
      </w:pPr>
      <w:rPr>
        <w:rFonts w:cs="Times New Roman"/>
      </w:r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2F"/>
    <w:rsid w:val="00147E36"/>
    <w:rsid w:val="001F712F"/>
    <w:rsid w:val="002210F3"/>
    <w:rsid w:val="002542D2"/>
    <w:rsid w:val="005C0EE6"/>
    <w:rsid w:val="007D13F3"/>
    <w:rsid w:val="00B605BD"/>
    <w:rsid w:val="00D16ABD"/>
    <w:rsid w:val="00D9278F"/>
    <w:rsid w:val="010C6BAD"/>
    <w:rsid w:val="013E1821"/>
    <w:rsid w:val="02B90D8E"/>
    <w:rsid w:val="038B6C58"/>
    <w:rsid w:val="03C10485"/>
    <w:rsid w:val="03FD25EC"/>
    <w:rsid w:val="058F5FC0"/>
    <w:rsid w:val="06357962"/>
    <w:rsid w:val="06524D89"/>
    <w:rsid w:val="06B95A33"/>
    <w:rsid w:val="06DE09DF"/>
    <w:rsid w:val="072B244C"/>
    <w:rsid w:val="07805F5A"/>
    <w:rsid w:val="093C6FEA"/>
    <w:rsid w:val="0A2157CF"/>
    <w:rsid w:val="0AAA590F"/>
    <w:rsid w:val="0D2E4C78"/>
    <w:rsid w:val="0D373D58"/>
    <w:rsid w:val="0D53059E"/>
    <w:rsid w:val="0D583CAD"/>
    <w:rsid w:val="0E483D84"/>
    <w:rsid w:val="0E4B790E"/>
    <w:rsid w:val="0EB22A89"/>
    <w:rsid w:val="0F055926"/>
    <w:rsid w:val="0F8D601A"/>
    <w:rsid w:val="0FEA0B2D"/>
    <w:rsid w:val="100B7BF3"/>
    <w:rsid w:val="10461AF8"/>
    <w:rsid w:val="10D568F9"/>
    <w:rsid w:val="114A7C6E"/>
    <w:rsid w:val="11C95013"/>
    <w:rsid w:val="12597751"/>
    <w:rsid w:val="125F20DA"/>
    <w:rsid w:val="12607967"/>
    <w:rsid w:val="134C0962"/>
    <w:rsid w:val="150E16C8"/>
    <w:rsid w:val="152D1270"/>
    <w:rsid w:val="16D219D9"/>
    <w:rsid w:val="16EB44D5"/>
    <w:rsid w:val="171E7BBB"/>
    <w:rsid w:val="181E31A7"/>
    <w:rsid w:val="1927334D"/>
    <w:rsid w:val="1A027B1F"/>
    <w:rsid w:val="1A045108"/>
    <w:rsid w:val="1A2129B3"/>
    <w:rsid w:val="1AE93B1B"/>
    <w:rsid w:val="1B38662E"/>
    <w:rsid w:val="1BBA192B"/>
    <w:rsid w:val="1BD05417"/>
    <w:rsid w:val="1CF135BF"/>
    <w:rsid w:val="1DD97B9C"/>
    <w:rsid w:val="1E066E89"/>
    <w:rsid w:val="1E5408BE"/>
    <w:rsid w:val="1E561621"/>
    <w:rsid w:val="1E7046E1"/>
    <w:rsid w:val="1F6B3698"/>
    <w:rsid w:val="1FF0628A"/>
    <w:rsid w:val="2155566D"/>
    <w:rsid w:val="216D37EA"/>
    <w:rsid w:val="21DD425A"/>
    <w:rsid w:val="23E86C96"/>
    <w:rsid w:val="242A1BA0"/>
    <w:rsid w:val="24520CF3"/>
    <w:rsid w:val="254D4979"/>
    <w:rsid w:val="27BB2DED"/>
    <w:rsid w:val="2848098A"/>
    <w:rsid w:val="28AE550B"/>
    <w:rsid w:val="29263201"/>
    <w:rsid w:val="2A4209CE"/>
    <w:rsid w:val="2A9B3790"/>
    <w:rsid w:val="2AAF4B3F"/>
    <w:rsid w:val="2BBB52C1"/>
    <w:rsid w:val="2CBA495C"/>
    <w:rsid w:val="2CF517D3"/>
    <w:rsid w:val="2D5653ED"/>
    <w:rsid w:val="2E6322F4"/>
    <w:rsid w:val="2F4910A0"/>
    <w:rsid w:val="2F7C53CF"/>
    <w:rsid w:val="2FE61DA5"/>
    <w:rsid w:val="30873922"/>
    <w:rsid w:val="32794900"/>
    <w:rsid w:val="34DC7636"/>
    <w:rsid w:val="351A1B36"/>
    <w:rsid w:val="357A3669"/>
    <w:rsid w:val="357C3016"/>
    <w:rsid w:val="3641657F"/>
    <w:rsid w:val="365E067E"/>
    <w:rsid w:val="37197EAF"/>
    <w:rsid w:val="384F25AE"/>
    <w:rsid w:val="39767DA7"/>
    <w:rsid w:val="398B7E3D"/>
    <w:rsid w:val="3AED7496"/>
    <w:rsid w:val="3BAF56C1"/>
    <w:rsid w:val="3BB657C0"/>
    <w:rsid w:val="3C916821"/>
    <w:rsid w:val="3E285F9E"/>
    <w:rsid w:val="3E28611D"/>
    <w:rsid w:val="40F9220F"/>
    <w:rsid w:val="413E3847"/>
    <w:rsid w:val="4153458B"/>
    <w:rsid w:val="41C04ADA"/>
    <w:rsid w:val="41DD49D5"/>
    <w:rsid w:val="42A133CC"/>
    <w:rsid w:val="436A4C1C"/>
    <w:rsid w:val="44124E41"/>
    <w:rsid w:val="443D433E"/>
    <w:rsid w:val="47F47D36"/>
    <w:rsid w:val="48A3497C"/>
    <w:rsid w:val="48DD7E23"/>
    <w:rsid w:val="493C65B5"/>
    <w:rsid w:val="49DF3234"/>
    <w:rsid w:val="4A165BEA"/>
    <w:rsid w:val="4A3A12BA"/>
    <w:rsid w:val="4A762B0E"/>
    <w:rsid w:val="4AA8049B"/>
    <w:rsid w:val="4B16537F"/>
    <w:rsid w:val="4D481CEC"/>
    <w:rsid w:val="4E2F73D0"/>
    <w:rsid w:val="4E5A12D9"/>
    <w:rsid w:val="4F8322EA"/>
    <w:rsid w:val="4FB524F0"/>
    <w:rsid w:val="50790041"/>
    <w:rsid w:val="507E1AFC"/>
    <w:rsid w:val="50AB1C08"/>
    <w:rsid w:val="50AE519E"/>
    <w:rsid w:val="51492906"/>
    <w:rsid w:val="51BF6359"/>
    <w:rsid w:val="527F4DFE"/>
    <w:rsid w:val="531A6557"/>
    <w:rsid w:val="53D045E4"/>
    <w:rsid w:val="5475552D"/>
    <w:rsid w:val="55BF6BFB"/>
    <w:rsid w:val="55EC27DB"/>
    <w:rsid w:val="55F67B88"/>
    <w:rsid w:val="56083A20"/>
    <w:rsid w:val="56E216E5"/>
    <w:rsid w:val="57D62FF5"/>
    <w:rsid w:val="590435D7"/>
    <w:rsid w:val="594C1A6B"/>
    <w:rsid w:val="59775AD5"/>
    <w:rsid w:val="59A94644"/>
    <w:rsid w:val="59EA6123"/>
    <w:rsid w:val="5A4B23CD"/>
    <w:rsid w:val="5AAA3A4D"/>
    <w:rsid w:val="5AF727EC"/>
    <w:rsid w:val="5E250C96"/>
    <w:rsid w:val="5E2E5847"/>
    <w:rsid w:val="5E6F6ED5"/>
    <w:rsid w:val="5E9C1E27"/>
    <w:rsid w:val="5F17498B"/>
    <w:rsid w:val="5FA9130F"/>
    <w:rsid w:val="600C5A71"/>
    <w:rsid w:val="60583943"/>
    <w:rsid w:val="60656DAB"/>
    <w:rsid w:val="61BF73D7"/>
    <w:rsid w:val="623601A4"/>
    <w:rsid w:val="624D1AA5"/>
    <w:rsid w:val="62E67CBB"/>
    <w:rsid w:val="62FC213B"/>
    <w:rsid w:val="63837975"/>
    <w:rsid w:val="645D0ACA"/>
    <w:rsid w:val="64A76AAF"/>
    <w:rsid w:val="64D7521C"/>
    <w:rsid w:val="65816D3A"/>
    <w:rsid w:val="65D22C57"/>
    <w:rsid w:val="661C4D4C"/>
    <w:rsid w:val="674C69B7"/>
    <w:rsid w:val="679E6DD3"/>
    <w:rsid w:val="67B13757"/>
    <w:rsid w:val="67D3221E"/>
    <w:rsid w:val="687365C5"/>
    <w:rsid w:val="68887BFA"/>
    <w:rsid w:val="69A03A8F"/>
    <w:rsid w:val="69C51D0E"/>
    <w:rsid w:val="6A1D4C59"/>
    <w:rsid w:val="6B7E2792"/>
    <w:rsid w:val="6D1B2D9B"/>
    <w:rsid w:val="6D7B2CA6"/>
    <w:rsid w:val="6DC7655A"/>
    <w:rsid w:val="6DDF674F"/>
    <w:rsid w:val="6E9D3662"/>
    <w:rsid w:val="6F56673C"/>
    <w:rsid w:val="70CF32BE"/>
    <w:rsid w:val="71C9367F"/>
    <w:rsid w:val="71FB5C42"/>
    <w:rsid w:val="721660FE"/>
    <w:rsid w:val="72201501"/>
    <w:rsid w:val="7322304E"/>
    <w:rsid w:val="73F33B39"/>
    <w:rsid w:val="74EE34AF"/>
    <w:rsid w:val="75215609"/>
    <w:rsid w:val="75BC330E"/>
    <w:rsid w:val="77C4324D"/>
    <w:rsid w:val="78C751FA"/>
    <w:rsid w:val="78F62FD2"/>
    <w:rsid w:val="7996353C"/>
    <w:rsid w:val="79E5168A"/>
    <w:rsid w:val="7A0E7069"/>
    <w:rsid w:val="7B0F5121"/>
    <w:rsid w:val="7B2C15BE"/>
    <w:rsid w:val="7B756C9A"/>
    <w:rsid w:val="7D2716C3"/>
    <w:rsid w:val="7DB64066"/>
    <w:rsid w:val="7FC81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
      <w:kern w:val="44"/>
      <w:sz w:val="32"/>
    </w:rPr>
  </w:style>
  <w:style w:type="paragraph" w:styleId="3">
    <w:name w:val="heading 2"/>
    <w:basedOn w:val="1"/>
    <w:next w:val="1"/>
    <w:unhideWhenUsed/>
    <w:qFormat/>
    <w:uiPriority w:val="9"/>
    <w:pPr>
      <w:keepNext/>
      <w:keepLines/>
      <w:spacing w:before="260" w:after="260" w:line="416" w:lineRule="auto"/>
      <w:outlineLvl w:val="1"/>
    </w:pPr>
    <w:rPr>
      <w:rFonts w:ascii="Arial" w:hAnsi="Arial"/>
      <w:b/>
      <w:sz w:val="28"/>
    </w:rPr>
  </w:style>
  <w:style w:type="paragraph" w:styleId="4">
    <w:name w:val="heading 3"/>
    <w:basedOn w:val="1"/>
    <w:next w:val="1"/>
    <w:unhideWhenUsed/>
    <w:qFormat/>
    <w:uiPriority w:val="9"/>
    <w:pPr>
      <w:keepNext/>
      <w:keepLines/>
      <w:spacing w:before="260" w:after="260" w:line="416" w:lineRule="auto"/>
      <w:outlineLvl w:val="2"/>
    </w:pPr>
    <w:rPr>
      <w:sz w:val="28"/>
    </w:rPr>
  </w:style>
  <w:style w:type="character" w:default="1" w:styleId="11">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Body Text"/>
    <w:basedOn w:val="1"/>
    <w:unhideWhenUsed/>
    <w:qFormat/>
    <w:uiPriority w:val="99"/>
    <w:pPr>
      <w:spacing w:before="25" w:beforeLines="0" w:afterLines="0"/>
      <w:ind w:left="304"/>
    </w:pPr>
    <w:rPr>
      <w:rFonts w:hint="eastAsia" w:ascii="宋体" w:hAnsi="宋体" w:eastAsia="宋体"/>
      <w:sz w:val="24"/>
    </w:rPr>
  </w:style>
  <w:style w:type="paragraph" w:styleId="6">
    <w:name w:val="Plain Text"/>
    <w:basedOn w:val="1"/>
    <w:unhideWhenUsed/>
    <w:qFormat/>
    <w:uiPriority w:val="99"/>
    <w:pPr>
      <w:adjustRightInd w:val="0"/>
      <w:spacing w:line="312" w:lineRule="atLeast"/>
      <w:textAlignment w:val="baseline"/>
    </w:pPr>
    <w:rPr>
      <w:rFonts w:ascii="宋体" w:hAnsi="Courier New"/>
      <w:kern w:val="0"/>
      <w:szCs w:val="20"/>
    </w:rPr>
  </w:style>
  <w:style w:type="paragraph" w:styleId="7">
    <w:name w:val="Balloon Text"/>
    <w:basedOn w:val="1"/>
    <w:link w:val="27"/>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spacing w:before="100" w:beforeAutospacing="1" w:after="100" w:afterAutospacing="1"/>
      <w:jc w:val="left"/>
    </w:pPr>
    <w:rPr>
      <w:rFonts w:hint="eastAsia" w:ascii="宋体" w:hAnsi="宋体"/>
      <w:kern w:val="0"/>
      <w:sz w:val="24"/>
    </w:rPr>
  </w:style>
  <w:style w:type="table" w:styleId="13">
    <w:name w:val="Table Grid"/>
    <w:basedOn w:val="12"/>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Char"/>
    <w:basedOn w:val="11"/>
    <w:link w:val="9"/>
    <w:qFormat/>
    <w:uiPriority w:val="99"/>
    <w:rPr>
      <w:rFonts w:ascii="Calibri" w:hAnsi="Calibri" w:eastAsia="宋体" w:cs="Times New Roman"/>
      <w:sz w:val="18"/>
      <w:szCs w:val="18"/>
    </w:rPr>
  </w:style>
  <w:style w:type="character" w:customStyle="1" w:styleId="15">
    <w:name w:val="页脚 Char"/>
    <w:basedOn w:val="11"/>
    <w:link w:val="8"/>
    <w:qFormat/>
    <w:uiPriority w:val="99"/>
    <w:rPr>
      <w:rFonts w:ascii="Calibri" w:hAnsi="Calibri" w:eastAsia="宋体" w:cs="Times New Roman"/>
      <w:sz w:val="18"/>
      <w:szCs w:val="18"/>
    </w:rPr>
  </w:style>
  <w:style w:type="paragraph" w:customStyle="1" w:styleId="16">
    <w:name w:val="1级标题"/>
    <w:basedOn w:val="1"/>
    <w:qFormat/>
    <w:uiPriority w:val="0"/>
    <w:pPr>
      <w:spacing w:before="60" w:line="460" w:lineRule="exact"/>
      <w:outlineLvl w:val="0"/>
    </w:pPr>
    <w:rPr>
      <w:b/>
      <w:sz w:val="32"/>
    </w:rPr>
  </w:style>
  <w:style w:type="paragraph" w:customStyle="1" w:styleId="17">
    <w:name w:val="三级标题"/>
    <w:basedOn w:val="18"/>
    <w:qFormat/>
    <w:uiPriority w:val="0"/>
    <w:pPr>
      <w:spacing w:before="300"/>
      <w:ind w:firstLine="0" w:firstLineChars="0"/>
      <w:outlineLvl w:val="2"/>
    </w:pPr>
    <w:rPr>
      <w:b/>
    </w:rPr>
  </w:style>
  <w:style w:type="paragraph" w:customStyle="1" w:styleId="18">
    <w:name w:val="正文01"/>
    <w:basedOn w:val="1"/>
    <w:qFormat/>
    <w:uiPriority w:val="0"/>
    <w:pPr>
      <w:spacing w:before="60" w:line="460" w:lineRule="exact"/>
      <w:ind w:firstLine="200" w:firstLineChars="200"/>
    </w:pPr>
    <w:rPr>
      <w:sz w:val="24"/>
    </w:rPr>
  </w:style>
  <w:style w:type="paragraph" w:customStyle="1" w:styleId="19">
    <w:name w:val="样式 正文001 + Times New Roman"/>
    <w:basedOn w:val="20"/>
    <w:qFormat/>
    <w:uiPriority w:val="0"/>
    <w:pPr>
      <w:ind w:firstLine="482" w:firstLineChars="0"/>
    </w:pPr>
    <w:rPr>
      <w:rFonts w:ascii="Calibri" w:hAnsi="Calibri"/>
      <w:szCs w:val="22"/>
    </w:rPr>
  </w:style>
  <w:style w:type="paragraph" w:customStyle="1" w:styleId="20">
    <w:name w:val="正文001"/>
    <w:basedOn w:val="1"/>
    <w:qFormat/>
    <w:uiPriority w:val="0"/>
    <w:pPr>
      <w:spacing w:before="60" w:line="460" w:lineRule="exact"/>
      <w:ind w:firstLine="200" w:firstLineChars="200"/>
    </w:pPr>
    <w:rPr>
      <w:rFonts w:ascii="Arial" w:hAnsi="Arial"/>
      <w:sz w:val="24"/>
      <w:szCs w:val="20"/>
    </w:rPr>
  </w:style>
  <w:style w:type="paragraph" w:customStyle="1" w:styleId="21">
    <w:name w:val="3级标题"/>
    <w:basedOn w:val="1"/>
    <w:qFormat/>
    <w:uiPriority w:val="0"/>
    <w:pPr>
      <w:spacing w:before="300" w:line="460" w:lineRule="exact"/>
      <w:outlineLvl w:val="2"/>
    </w:pPr>
    <w:rPr>
      <w:rFonts w:ascii="Arial" w:hAnsi="Arial"/>
      <w:b/>
      <w:sz w:val="24"/>
    </w:rPr>
  </w:style>
  <w:style w:type="paragraph" w:customStyle="1" w:styleId="22">
    <w:name w:val="2级标题"/>
    <w:basedOn w:val="1"/>
    <w:qFormat/>
    <w:uiPriority w:val="0"/>
    <w:pPr>
      <w:spacing w:before="60" w:line="460" w:lineRule="exact"/>
      <w:outlineLvl w:val="1"/>
    </w:pPr>
    <w:rPr>
      <w:b/>
      <w:sz w:val="28"/>
    </w:rPr>
  </w:style>
  <w:style w:type="paragraph" w:customStyle="1" w:styleId="23">
    <w:name w:val="正文 New New New New New New New New New New New New New New New New New New New New"/>
    <w:unhideWhenUsed/>
    <w:qFormat/>
    <w:uiPriority w:val="0"/>
    <w:pPr>
      <w:widowControl w:val="0"/>
      <w:jc w:val="both"/>
    </w:pPr>
    <w:rPr>
      <w:rFonts w:ascii="Times New Roman" w:hAnsi="Times New Roman" w:eastAsia="宋体" w:cstheme="minorBidi"/>
      <w:kern w:val="2"/>
      <w:sz w:val="21"/>
      <w:szCs w:val="22"/>
      <w:lang w:val="en-US" w:eastAsia="zh-CN" w:bidi="ar-SA"/>
    </w:rPr>
  </w:style>
  <w:style w:type="paragraph" w:customStyle="1" w:styleId="24">
    <w:name w:val="reader-word-layer reader-word-s5-7"/>
    <w:basedOn w:val="1"/>
    <w:qFormat/>
    <w:uiPriority w:val="0"/>
    <w:pPr>
      <w:widowControl/>
      <w:spacing w:beforeAutospacing="1" w:afterAutospacing="1"/>
      <w:jc w:val="left"/>
    </w:pPr>
    <w:rPr>
      <w:rFonts w:ascii="宋体" w:hAnsi="宋体" w:cs="宋体"/>
      <w:kern w:val="0"/>
      <w:sz w:val="24"/>
    </w:rPr>
  </w:style>
  <w:style w:type="paragraph" w:customStyle="1" w:styleId="25">
    <w:name w:val="reader-word-layer reader-word-s5-9"/>
    <w:basedOn w:val="1"/>
    <w:qFormat/>
    <w:uiPriority w:val="0"/>
    <w:pPr>
      <w:widowControl/>
      <w:spacing w:beforeAutospacing="1" w:afterAutospacing="1"/>
      <w:jc w:val="left"/>
    </w:pPr>
    <w:rPr>
      <w:rFonts w:ascii="宋体" w:hAnsi="宋体" w:cs="宋体"/>
      <w:kern w:val="0"/>
      <w:sz w:val="24"/>
    </w:rPr>
  </w:style>
  <w:style w:type="paragraph" w:customStyle="1" w:styleId="26">
    <w:name w:val="reader-word-layer reader-word-s5-1 reader-word-s5-10"/>
    <w:basedOn w:val="1"/>
    <w:qFormat/>
    <w:uiPriority w:val="0"/>
    <w:pPr>
      <w:widowControl/>
      <w:spacing w:beforeAutospacing="1" w:afterAutospacing="1"/>
      <w:jc w:val="left"/>
    </w:pPr>
    <w:rPr>
      <w:rFonts w:ascii="宋体" w:hAnsi="宋体" w:cs="宋体"/>
      <w:kern w:val="0"/>
      <w:sz w:val="24"/>
    </w:rPr>
  </w:style>
  <w:style w:type="character" w:customStyle="1" w:styleId="27">
    <w:name w:val="批注框文本 Char"/>
    <w:basedOn w:val="11"/>
    <w:link w:val="7"/>
    <w:semiHidden/>
    <w:qFormat/>
    <w:uiPriority w:val="99"/>
    <w:rPr>
      <w:rFonts w:ascii="Calibri" w:hAnsi="Calibri" w:eastAsia="宋体" w:cs="Times New Roman"/>
      <w:kern w:val="2"/>
      <w:sz w:val="18"/>
      <w:szCs w:val="18"/>
    </w:rPr>
  </w:style>
  <w:style w:type="character" w:customStyle="1" w:styleId="28">
    <w:name w:val="font61"/>
    <w:basedOn w:val="11"/>
    <w:uiPriority w:val="0"/>
    <w:rPr>
      <w:rFonts w:hint="default" w:ascii="Calibri" w:hAnsi="Calibri" w:cs="Calibri"/>
      <w:color w:val="auto"/>
      <w:sz w:val="24"/>
      <w:szCs w:val="24"/>
      <w:u w:val="none"/>
    </w:rPr>
  </w:style>
  <w:style w:type="character" w:customStyle="1" w:styleId="29">
    <w:name w:val="font51"/>
    <w:basedOn w:val="11"/>
    <w:qFormat/>
    <w:uiPriority w:val="0"/>
    <w:rPr>
      <w:rFonts w:hint="eastAsia" w:ascii="仿宋_GB2312" w:eastAsia="仿宋_GB2312" w:cs="仿宋_GB2312"/>
      <w:color w:val="auto"/>
      <w:sz w:val="24"/>
      <w:szCs w:val="24"/>
      <w:u w:val="none"/>
    </w:rPr>
  </w:style>
  <w:style w:type="character" w:customStyle="1" w:styleId="30">
    <w:name w:val="font71"/>
    <w:basedOn w:val="11"/>
    <w:uiPriority w:val="0"/>
    <w:rPr>
      <w:rFonts w:hint="default" w:ascii="Calibri" w:hAnsi="Calibri" w:cs="Calibri"/>
      <w:color w:val="auto"/>
      <w:sz w:val="24"/>
      <w:szCs w:val="24"/>
      <w:u w:val="none"/>
    </w:rPr>
  </w:style>
  <w:style w:type="character" w:customStyle="1" w:styleId="31">
    <w:name w:val="font81"/>
    <w:basedOn w:val="11"/>
    <w:uiPriority w:val="0"/>
    <w:rPr>
      <w:rFonts w:hint="eastAsia" w:ascii="仿宋_GB2312" w:eastAsia="仿宋_GB2312" w:cs="仿宋_GB2312"/>
      <w:b/>
      <w:color w:val="000000"/>
      <w:sz w:val="28"/>
      <w:szCs w:val="28"/>
      <w:u w:val="none"/>
    </w:rPr>
  </w:style>
  <w:style w:type="character" w:customStyle="1" w:styleId="32">
    <w:name w:val="font101"/>
    <w:basedOn w:val="11"/>
    <w:uiPriority w:val="0"/>
    <w:rPr>
      <w:rFonts w:hint="default" w:ascii="Calibri" w:hAnsi="Calibri" w:cs="Calibri"/>
      <w:color w:val="000000"/>
      <w:sz w:val="24"/>
      <w:szCs w:val="24"/>
      <w:u w:val="none"/>
    </w:rPr>
  </w:style>
  <w:style w:type="character" w:customStyle="1" w:styleId="33">
    <w:name w:val="font91"/>
    <w:basedOn w:val="11"/>
    <w:uiPriority w:val="0"/>
    <w:rPr>
      <w:rFonts w:hint="eastAsia" w:ascii="仿宋_GB2312" w:eastAsia="仿宋_GB2312" w:cs="仿宋_GB2312"/>
      <w:color w:val="000000"/>
      <w:sz w:val="24"/>
      <w:szCs w:val="24"/>
      <w:u w:val="none"/>
    </w:rPr>
  </w:style>
  <w:style w:type="character" w:customStyle="1" w:styleId="34">
    <w:name w:val="font11"/>
    <w:basedOn w:val="11"/>
    <w:uiPriority w:val="0"/>
    <w:rPr>
      <w:rFonts w:hint="eastAsia" w:ascii="仿宋_GB2312" w:eastAsia="仿宋_GB2312" w:cs="仿宋_GB2312"/>
      <w:color w:val="000000"/>
      <w:sz w:val="24"/>
      <w:szCs w:val="24"/>
      <w:u w:val="none"/>
      <w:vertAlign w:val="superscript"/>
    </w:rPr>
  </w:style>
  <w:style w:type="character" w:customStyle="1" w:styleId="35">
    <w:name w:val="font41"/>
    <w:basedOn w:val="11"/>
    <w:uiPriority w:val="0"/>
    <w:rPr>
      <w:rFonts w:hint="eastAsia" w:ascii="仿宋_GB2312" w:eastAsia="仿宋_GB2312" w:cs="仿宋_GB2312"/>
      <w:color w:val="000000"/>
      <w:sz w:val="24"/>
      <w:szCs w:val="24"/>
      <w:u w:val="none"/>
    </w:rPr>
  </w:style>
  <w:style w:type="paragraph" w:customStyle="1" w:styleId="36">
    <w:name w:val="Table Paragraph"/>
    <w:basedOn w:val="1"/>
    <w:unhideWhenUsed/>
    <w:qFormat/>
    <w:uiPriority w:val="1"/>
    <w:pPr>
      <w:spacing w:beforeLines="0" w:afterLines="0"/>
    </w:pPr>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2388</Words>
  <Characters>13615</Characters>
  <Lines>113</Lines>
  <Paragraphs>31</Paragraphs>
  <TotalTime>3</TotalTime>
  <ScaleCrop>false</ScaleCrop>
  <LinksUpToDate>false</LinksUpToDate>
  <CharactersWithSpaces>15972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2015-06-11T02:08:00Z</dcterms:created>
  <dc:creator>周密</dc:creator>
  <cp:lastModifiedBy>一叶知秋</cp:lastModifiedBy>
  <cp:lastPrinted>2015-12-24T03:11:00Z</cp:lastPrinted>
  <dcterms:modified xsi:type="dcterms:W3CDTF">2018-05-16T10:17:07Z</dcterms:modified>
  <dc:title>  企业事业单位环境信息公开表</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